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0C883" w14:textId="77777777" w:rsidR="004E394B" w:rsidRPr="004E394B" w:rsidRDefault="004E394B" w:rsidP="004E394B">
      <w:pPr>
        <w:widowControl w:val="0"/>
        <w:spacing w:after="0" w:line="434" w:lineRule="exact"/>
        <w:jc w:val="center"/>
        <w:rPr>
          <w:rFonts w:ascii="Segoe UI" w:eastAsia="Calibri" w:hAnsi="Calibri" w:cs="Times New Roman"/>
          <w:b/>
          <w:color w:val="31302F"/>
          <w:spacing w:val="-1"/>
          <w:kern w:val="0"/>
          <w:sz w:val="34"/>
          <w14:ligatures w14:val="none"/>
        </w:rPr>
      </w:pPr>
      <w:r w:rsidRPr="004E394B">
        <w:rPr>
          <w:rFonts w:ascii="Segoe UI" w:eastAsia="Calibri" w:hAnsi="Calibri" w:cs="Times New Roman"/>
          <w:b/>
          <w:color w:val="31302F"/>
          <w:spacing w:val="-1"/>
          <w:kern w:val="0"/>
          <w:sz w:val="34"/>
          <w14:ligatures w14:val="none"/>
        </w:rPr>
        <w:t>Kansas</w:t>
      </w:r>
      <w:r w:rsidRPr="004E394B">
        <w:rPr>
          <w:rFonts w:ascii="Segoe UI" w:eastAsia="Calibri" w:hAnsi="Calibri" w:cs="Times New Roman"/>
          <w:b/>
          <w:color w:val="31302F"/>
          <w:spacing w:val="-2"/>
          <w:kern w:val="0"/>
          <w:sz w:val="34"/>
          <w14:ligatures w14:val="none"/>
        </w:rPr>
        <w:t xml:space="preserve"> </w:t>
      </w:r>
      <w:r w:rsidRPr="004E394B">
        <w:rPr>
          <w:rFonts w:ascii="Segoe UI" w:eastAsia="Calibri" w:hAnsi="Calibri" w:cs="Times New Roman"/>
          <w:b/>
          <w:color w:val="31302F"/>
          <w:spacing w:val="-1"/>
          <w:kern w:val="0"/>
          <w:sz w:val="34"/>
          <w14:ligatures w14:val="none"/>
        </w:rPr>
        <w:t>Elevator</w:t>
      </w:r>
      <w:r w:rsidRPr="004E394B">
        <w:rPr>
          <w:rFonts w:ascii="Segoe UI" w:eastAsia="Calibri" w:hAnsi="Calibri" w:cs="Times New Roman"/>
          <w:b/>
          <w:color w:val="31302F"/>
          <w:spacing w:val="1"/>
          <w:kern w:val="0"/>
          <w:sz w:val="34"/>
          <w14:ligatures w14:val="none"/>
        </w:rPr>
        <w:t xml:space="preserve"> </w:t>
      </w:r>
      <w:r w:rsidRPr="004E394B">
        <w:rPr>
          <w:rFonts w:ascii="Segoe UI" w:eastAsia="Calibri" w:hAnsi="Calibri" w:cs="Times New Roman"/>
          <w:b/>
          <w:color w:val="31302F"/>
          <w:spacing w:val="-1"/>
          <w:kern w:val="0"/>
          <w:sz w:val="34"/>
          <w14:ligatures w14:val="none"/>
        </w:rPr>
        <w:t>Safety</w:t>
      </w:r>
      <w:r w:rsidRPr="004E394B">
        <w:rPr>
          <w:rFonts w:ascii="Segoe UI" w:eastAsia="Calibri" w:hAnsi="Calibri" w:cs="Times New Roman"/>
          <w:b/>
          <w:color w:val="31302F"/>
          <w:spacing w:val="-2"/>
          <w:kern w:val="0"/>
          <w:sz w:val="34"/>
          <w14:ligatures w14:val="none"/>
        </w:rPr>
        <w:t xml:space="preserve"> </w:t>
      </w:r>
      <w:r w:rsidRPr="004E394B">
        <w:rPr>
          <w:rFonts w:ascii="Segoe UI" w:eastAsia="Calibri" w:hAnsi="Calibri" w:cs="Times New Roman"/>
          <w:b/>
          <w:color w:val="31302F"/>
          <w:spacing w:val="-1"/>
          <w:kern w:val="0"/>
          <w:sz w:val="34"/>
          <w14:ligatures w14:val="none"/>
        </w:rPr>
        <w:t>Advisory</w:t>
      </w:r>
      <w:r w:rsidRPr="004E394B">
        <w:rPr>
          <w:rFonts w:ascii="Segoe UI" w:eastAsia="Calibri" w:hAnsi="Calibri" w:cs="Times New Roman"/>
          <w:b/>
          <w:color w:val="31302F"/>
          <w:spacing w:val="-2"/>
          <w:kern w:val="0"/>
          <w:sz w:val="34"/>
          <w14:ligatures w14:val="none"/>
        </w:rPr>
        <w:t xml:space="preserve"> </w:t>
      </w:r>
      <w:r w:rsidRPr="004E394B">
        <w:rPr>
          <w:rFonts w:ascii="Segoe UI" w:eastAsia="Calibri" w:hAnsi="Calibri" w:cs="Times New Roman"/>
          <w:b/>
          <w:color w:val="31302F"/>
          <w:spacing w:val="-1"/>
          <w:kern w:val="0"/>
          <w:sz w:val="34"/>
          <w14:ligatures w14:val="none"/>
        </w:rPr>
        <w:t>Board</w:t>
      </w:r>
    </w:p>
    <w:p w14:paraId="48593257" w14:textId="77777777" w:rsidR="004E394B" w:rsidRPr="004E394B" w:rsidRDefault="004E394B" w:rsidP="004E394B">
      <w:pPr>
        <w:widowControl w:val="0"/>
        <w:spacing w:after="0" w:line="240" w:lineRule="auto"/>
        <w:ind w:firstLine="86"/>
        <w:jc w:val="center"/>
        <w:rPr>
          <w:rFonts w:ascii="Segoe UI" w:eastAsia="Calibri" w:hAnsi="Calibri" w:cs="Times New Roman"/>
          <w:bCs/>
          <w:color w:val="31302F"/>
          <w:spacing w:val="-1"/>
          <w:kern w:val="0"/>
          <w:sz w:val="20"/>
          <w:szCs w:val="20"/>
          <w14:ligatures w14:val="none"/>
        </w:rPr>
      </w:pPr>
      <w:r w:rsidRPr="004E394B">
        <w:rPr>
          <w:rFonts w:ascii="Segoe UI" w:eastAsia="Calibri" w:hAnsi="Calibri" w:cs="Times New Roman"/>
          <w:bCs/>
          <w:color w:val="31302F"/>
          <w:spacing w:val="-1"/>
          <w:kern w:val="0"/>
          <w:sz w:val="20"/>
          <w:szCs w:val="20"/>
          <w14:ligatures w14:val="none"/>
        </w:rPr>
        <w:t>Meeting minutes</w:t>
      </w:r>
    </w:p>
    <w:p w14:paraId="38649733" w14:textId="6B3F68FA" w:rsidR="0040398E" w:rsidRPr="00CF6731" w:rsidRDefault="00950527" w:rsidP="00CF6731">
      <w:pPr>
        <w:widowControl w:val="0"/>
        <w:spacing w:after="0" w:line="240" w:lineRule="auto"/>
        <w:ind w:firstLine="86"/>
        <w:jc w:val="center"/>
        <w:rPr>
          <w:rFonts w:ascii="Segoe UI" w:eastAsia="Calibri" w:hAnsi="Calibri" w:cs="Times New Roman"/>
          <w:bCs/>
          <w:color w:val="31302F"/>
          <w:spacing w:val="-1"/>
          <w:kern w:val="0"/>
          <w:sz w:val="20"/>
          <w:szCs w:val="20"/>
          <w14:ligatures w14:val="none"/>
        </w:rPr>
      </w:pPr>
      <w:r>
        <w:rPr>
          <w:rFonts w:ascii="Segoe UI" w:eastAsia="Calibri" w:hAnsi="Calibri" w:cs="Times New Roman"/>
          <w:bCs/>
          <w:color w:val="31302F"/>
          <w:spacing w:val="-1"/>
          <w:kern w:val="0"/>
          <w:sz w:val="20"/>
          <w:szCs w:val="20"/>
          <w14:ligatures w14:val="none"/>
        </w:rPr>
        <w:t>October 21</w:t>
      </w:r>
      <w:r w:rsidR="00095B70">
        <w:rPr>
          <w:rFonts w:ascii="Segoe UI" w:eastAsia="Calibri" w:hAnsi="Calibri" w:cs="Times New Roman"/>
          <w:bCs/>
          <w:color w:val="31302F"/>
          <w:spacing w:val="-1"/>
          <w:kern w:val="0"/>
          <w:sz w:val="20"/>
          <w:szCs w:val="20"/>
          <w14:ligatures w14:val="none"/>
        </w:rPr>
        <w:t>, 20</w:t>
      </w:r>
      <w:r>
        <w:rPr>
          <w:rFonts w:ascii="Segoe UI" w:eastAsia="Calibri" w:hAnsi="Calibri" w:cs="Times New Roman"/>
          <w:bCs/>
          <w:color w:val="31302F"/>
          <w:spacing w:val="-1"/>
          <w:kern w:val="0"/>
          <w:sz w:val="20"/>
          <w:szCs w:val="20"/>
          <w14:ligatures w14:val="none"/>
        </w:rPr>
        <w:t>2</w:t>
      </w:r>
      <w:r w:rsidR="00095B70">
        <w:rPr>
          <w:rFonts w:ascii="Segoe UI" w:eastAsia="Calibri" w:hAnsi="Calibri" w:cs="Times New Roman"/>
          <w:bCs/>
          <w:color w:val="31302F"/>
          <w:spacing w:val="-1"/>
          <w:kern w:val="0"/>
          <w:sz w:val="20"/>
          <w:szCs w:val="20"/>
          <w14:ligatures w14:val="none"/>
        </w:rPr>
        <w:t>4</w:t>
      </w:r>
    </w:p>
    <w:p w14:paraId="7925C6E6" w14:textId="54962923" w:rsidR="004E394B" w:rsidRPr="004E394B" w:rsidRDefault="004E394B" w:rsidP="00DB36F1">
      <w:pPr>
        <w:spacing w:after="0" w:line="240" w:lineRule="auto"/>
        <w:rPr>
          <w:u w:val="single"/>
        </w:rPr>
      </w:pPr>
      <w:r w:rsidRPr="004E394B">
        <w:rPr>
          <w:u w:val="single"/>
        </w:rPr>
        <w:t>Call to order:</w:t>
      </w:r>
    </w:p>
    <w:p w14:paraId="203B69C8" w14:textId="3FAB9DA0" w:rsidR="009F5627" w:rsidRDefault="004E394B" w:rsidP="00DB36F1">
      <w:pPr>
        <w:spacing w:after="0" w:line="240" w:lineRule="auto"/>
      </w:pPr>
      <w:r>
        <w:t>Mark Engholm</w:t>
      </w:r>
      <w:r w:rsidR="00A04C56">
        <w:t xml:space="preserve"> </w:t>
      </w:r>
      <w:r>
        <w:t xml:space="preserve">called meeting to order at </w:t>
      </w:r>
      <w:r w:rsidR="003D59BF">
        <w:t>10:00</w:t>
      </w:r>
      <w:r w:rsidR="006A0189">
        <w:t>am</w:t>
      </w:r>
    </w:p>
    <w:p w14:paraId="46BC3334" w14:textId="77777777" w:rsidR="0040398E" w:rsidRDefault="0040398E" w:rsidP="00DB36F1">
      <w:pPr>
        <w:spacing w:after="0" w:line="240" w:lineRule="auto"/>
      </w:pPr>
    </w:p>
    <w:p w14:paraId="6888B1D3" w14:textId="1FB4F757" w:rsidR="004E394B" w:rsidRPr="004E394B" w:rsidRDefault="004E394B" w:rsidP="00DB36F1">
      <w:pPr>
        <w:spacing w:after="0" w:line="240" w:lineRule="auto"/>
        <w:rPr>
          <w:u w:val="single"/>
        </w:rPr>
      </w:pPr>
      <w:r w:rsidRPr="004E394B">
        <w:rPr>
          <w:u w:val="single"/>
        </w:rPr>
        <w:t>Present:</w:t>
      </w:r>
    </w:p>
    <w:p w14:paraId="5F1AE45C" w14:textId="263C9A93" w:rsidR="004E394B" w:rsidRDefault="004E394B" w:rsidP="00DB36F1">
      <w:pPr>
        <w:spacing w:after="0" w:line="240" w:lineRule="auto"/>
      </w:pPr>
      <w:r>
        <w:t>In person: Cole Haston, Senator Mike Peters</w:t>
      </w:r>
      <w:r w:rsidR="00227FEC">
        <w:t>e</w:t>
      </w:r>
      <w:r>
        <w:t xml:space="preserve">n, Jarrod Mann, Julie Garcia, Mark Wendland, Brent Snyder, </w:t>
      </w:r>
      <w:r w:rsidRPr="004E394B">
        <w:t>Spencer Duncan</w:t>
      </w:r>
      <w:r>
        <w:t>, Mark Engholm, Jacob Poteete</w:t>
      </w:r>
      <w:r w:rsidR="00645DC0">
        <w:t xml:space="preserve">, </w:t>
      </w:r>
      <w:r>
        <w:t>Todd Stanton-online</w:t>
      </w:r>
      <w:r w:rsidR="00095B70">
        <w:t xml:space="preserve">, </w:t>
      </w:r>
      <w:r w:rsidR="00095B70" w:rsidRPr="00095B70">
        <w:t>Representative Sean Tarwater</w:t>
      </w:r>
    </w:p>
    <w:p w14:paraId="44ACF6C3" w14:textId="77777777" w:rsidR="004E394B" w:rsidRDefault="004E394B" w:rsidP="00DB36F1">
      <w:pPr>
        <w:spacing w:after="0" w:line="240" w:lineRule="auto"/>
      </w:pPr>
    </w:p>
    <w:p w14:paraId="5EF6DB59" w14:textId="3531C908" w:rsidR="004E394B" w:rsidRPr="0056655E" w:rsidRDefault="004E394B" w:rsidP="00DB36F1">
      <w:pPr>
        <w:spacing w:after="0" w:line="240" w:lineRule="auto"/>
        <w:rPr>
          <w:u w:val="single"/>
        </w:rPr>
      </w:pPr>
      <w:r w:rsidRPr="0056655E">
        <w:rPr>
          <w:u w:val="single"/>
        </w:rPr>
        <w:t>Absent</w:t>
      </w:r>
      <w:r w:rsidR="0056655E">
        <w:rPr>
          <w:u w:val="single"/>
        </w:rPr>
        <w:t xml:space="preserve">: </w:t>
      </w:r>
      <w:r w:rsidR="003D59BF">
        <w:rPr>
          <w:u w:val="single"/>
        </w:rPr>
        <w:t xml:space="preserve"> </w:t>
      </w:r>
      <w:r w:rsidR="0056655E" w:rsidRPr="0056655E">
        <w:t>None</w:t>
      </w:r>
    </w:p>
    <w:p w14:paraId="36EB3B97" w14:textId="77777777" w:rsidR="004E394B" w:rsidRDefault="004E394B" w:rsidP="00DB36F1">
      <w:pPr>
        <w:spacing w:after="0" w:line="240" w:lineRule="auto"/>
      </w:pPr>
    </w:p>
    <w:p w14:paraId="02B6F62F" w14:textId="77777777" w:rsidR="004E394B" w:rsidRPr="004E394B" w:rsidRDefault="004E394B" w:rsidP="00DB36F1">
      <w:pPr>
        <w:spacing w:after="0" w:line="240" w:lineRule="auto"/>
        <w:rPr>
          <w:u w:val="single"/>
        </w:rPr>
      </w:pPr>
      <w:r w:rsidRPr="004E394B">
        <w:rPr>
          <w:u w:val="single"/>
        </w:rPr>
        <w:t>Guests:</w:t>
      </w:r>
    </w:p>
    <w:p w14:paraId="0875AE34" w14:textId="6FA12823" w:rsidR="004E394B" w:rsidRDefault="004E394B" w:rsidP="00DB36F1">
      <w:pPr>
        <w:spacing w:after="0" w:line="240" w:lineRule="auto"/>
      </w:pPr>
      <w:r>
        <w:t>Brenda McNorton, Bill VanAusdall, Jared Smith, Jessica Dunderdale, Christina Lambotte</w:t>
      </w:r>
    </w:p>
    <w:p w14:paraId="0BE0F5A2" w14:textId="5D3EEFB5" w:rsidR="0040398E" w:rsidRDefault="0040398E" w:rsidP="00DB36F1">
      <w:pPr>
        <w:spacing w:after="0" w:line="240" w:lineRule="auto"/>
      </w:pPr>
    </w:p>
    <w:p w14:paraId="30276901" w14:textId="77777777" w:rsidR="004E394B" w:rsidRPr="002C33CD" w:rsidRDefault="004E394B" w:rsidP="00DB36F1">
      <w:pPr>
        <w:spacing w:after="0" w:line="240" w:lineRule="auto"/>
        <w:rPr>
          <w:u w:val="single"/>
        </w:rPr>
      </w:pPr>
      <w:r w:rsidRPr="002C33CD">
        <w:rPr>
          <w:u w:val="single"/>
        </w:rPr>
        <w:t>Old business</w:t>
      </w:r>
    </w:p>
    <w:p w14:paraId="72F4147E" w14:textId="77777777" w:rsidR="004E394B" w:rsidRDefault="004E394B" w:rsidP="00DB36F1">
      <w:pPr>
        <w:spacing w:after="0" w:line="240" w:lineRule="auto"/>
      </w:pPr>
    </w:p>
    <w:p w14:paraId="69EB21CE" w14:textId="0BBB5957" w:rsidR="004E394B" w:rsidRDefault="004E394B" w:rsidP="00DB36F1">
      <w:pPr>
        <w:spacing w:after="0" w:line="240" w:lineRule="auto"/>
        <w:ind w:left="360" w:hanging="360"/>
      </w:pPr>
      <w:r>
        <w:t>1.</w:t>
      </w:r>
      <w:r>
        <w:tab/>
        <w:t>Approv</w:t>
      </w:r>
      <w:r w:rsidR="00AE2891">
        <w:t>al</w:t>
      </w:r>
      <w:r>
        <w:t xml:space="preserve"> of the </w:t>
      </w:r>
      <w:r w:rsidR="00950527">
        <w:t>8</w:t>
      </w:r>
      <w:r>
        <w:t xml:space="preserve">th </w:t>
      </w:r>
      <w:r w:rsidR="004F1AD5">
        <w:t>m</w:t>
      </w:r>
      <w:r>
        <w:t>eeting minutes</w:t>
      </w:r>
      <w:r w:rsidR="004E2302">
        <w:t xml:space="preserve">-motion by </w:t>
      </w:r>
      <w:r w:rsidR="00714553">
        <w:t>Mark Engholm</w:t>
      </w:r>
      <w:r w:rsidR="00AA45AB">
        <w:t xml:space="preserve"> seconded by Brent </w:t>
      </w:r>
      <w:r w:rsidR="00F8711D">
        <w:t>Snyder</w:t>
      </w:r>
    </w:p>
    <w:p w14:paraId="77897D26" w14:textId="77777777" w:rsidR="00A4055D" w:rsidRDefault="00A4055D" w:rsidP="00242C23">
      <w:pPr>
        <w:spacing w:after="0" w:line="240" w:lineRule="auto"/>
        <w:jc w:val="both"/>
      </w:pPr>
    </w:p>
    <w:p w14:paraId="6AFBE204" w14:textId="686E8504" w:rsidR="00B648E7" w:rsidRDefault="00D1233D" w:rsidP="00242C23">
      <w:pPr>
        <w:spacing w:after="0" w:line="240" w:lineRule="auto"/>
        <w:jc w:val="both"/>
        <w:rPr>
          <w:rFonts w:ascii="Segoe UI" w:eastAsia="Segoe UI" w:hAnsi="Segoe UI" w:cs="Segoe UI"/>
          <w:kern w:val="0"/>
          <w:sz w:val="20"/>
          <w:szCs w:val="20"/>
          <w:u w:val="single"/>
          <w14:ligatures w14:val="none"/>
        </w:rPr>
      </w:pPr>
      <w:r w:rsidRPr="00D1233D">
        <w:rPr>
          <w:rFonts w:ascii="Segoe UI" w:eastAsia="Segoe UI" w:hAnsi="Segoe UI" w:cs="Segoe UI"/>
          <w:kern w:val="0"/>
          <w:sz w:val="20"/>
          <w:szCs w:val="20"/>
          <w:u w:val="single"/>
          <w14:ligatures w14:val="none"/>
        </w:rPr>
        <w:t xml:space="preserve">Agenda items discussed by Mark Engholm and </w:t>
      </w:r>
      <w:r w:rsidR="00464433" w:rsidRPr="00D1233D">
        <w:rPr>
          <w:rFonts w:ascii="Segoe UI" w:eastAsia="Segoe UI" w:hAnsi="Segoe UI" w:cs="Segoe UI"/>
          <w:kern w:val="0"/>
          <w:sz w:val="20"/>
          <w:szCs w:val="20"/>
          <w:u w:val="single"/>
          <w14:ligatures w14:val="none"/>
        </w:rPr>
        <w:t>staff.</w:t>
      </w:r>
    </w:p>
    <w:p w14:paraId="18274043" w14:textId="77777777" w:rsidR="00D8558F" w:rsidRDefault="00D8558F" w:rsidP="00242C23">
      <w:pPr>
        <w:spacing w:after="0" w:line="240" w:lineRule="auto"/>
        <w:jc w:val="both"/>
        <w:rPr>
          <w:rFonts w:ascii="Segoe UI" w:eastAsia="Segoe UI" w:hAnsi="Segoe UI" w:cs="Segoe UI"/>
          <w:kern w:val="0"/>
          <w:sz w:val="20"/>
          <w:szCs w:val="20"/>
          <w:u w:val="single"/>
          <w14:ligatures w14:val="none"/>
        </w:rPr>
      </w:pPr>
    </w:p>
    <w:p w14:paraId="48FA7464" w14:textId="6ADF5AA1" w:rsidR="00950527" w:rsidRDefault="000F0D03" w:rsidP="00D857D2">
      <w:pPr>
        <w:pStyle w:val="ListParagraph"/>
        <w:numPr>
          <w:ilvl w:val="0"/>
          <w:numId w:val="19"/>
        </w:numPr>
        <w:spacing w:after="0" w:line="240" w:lineRule="auto"/>
      </w:pPr>
      <w:r w:rsidRPr="000F0D03">
        <w:t>Mark presented the proposed DRAFT of the KS Elevator Advisory Board Handbook.  He stated that this DRAFT is the 5th iteration of the handbook. Mark also stated that the purpose of the handbook is to provide guidance in the event that anyone from the public sector has questions regarding the elevator program. Mark stated the handbook is a policy manual and does not require approval. He also said that the handbook is ready for use and if the board feels the need to modify it in the future, they will be able to do so.</w:t>
      </w:r>
    </w:p>
    <w:p w14:paraId="49BCCBB2" w14:textId="77777777" w:rsidR="000F0D03" w:rsidRDefault="000F0D03" w:rsidP="000F0D03">
      <w:pPr>
        <w:pStyle w:val="ListParagraph"/>
        <w:spacing w:after="0" w:line="240" w:lineRule="auto"/>
        <w:ind w:left="870"/>
      </w:pPr>
    </w:p>
    <w:p w14:paraId="7569A7FE" w14:textId="0B2FDA76" w:rsidR="000801BE" w:rsidRDefault="000801BE" w:rsidP="00D857D2">
      <w:pPr>
        <w:pStyle w:val="ListParagraph"/>
        <w:numPr>
          <w:ilvl w:val="0"/>
          <w:numId w:val="19"/>
        </w:numPr>
        <w:spacing w:after="0" w:line="240" w:lineRule="auto"/>
      </w:pPr>
      <w:r>
        <w:t>Mark Engholm stated to make sure Spencer Duncan is listed as present for the meeting.</w:t>
      </w:r>
    </w:p>
    <w:p w14:paraId="2236C54D" w14:textId="77777777" w:rsidR="00F9488A" w:rsidRDefault="00F9488A" w:rsidP="00F9488A">
      <w:pPr>
        <w:pStyle w:val="ListParagraph"/>
      </w:pPr>
    </w:p>
    <w:p w14:paraId="6D557BF9" w14:textId="4C502D6D" w:rsidR="00F9488A" w:rsidRPr="00F9488A" w:rsidRDefault="00F9488A" w:rsidP="00D857D2">
      <w:pPr>
        <w:pStyle w:val="ListParagraph"/>
        <w:numPr>
          <w:ilvl w:val="0"/>
          <w:numId w:val="19"/>
        </w:numPr>
        <w:spacing w:after="0" w:line="240" w:lineRule="auto"/>
      </w:pPr>
      <w:r w:rsidRPr="00F9488A">
        <w:t>Jessica Dunderdale presented a revised graphic containing the elevator numbers.  The new graphic indicated how many applications were actually received each month.  This was a change from the previous graphic that showed the total number of cumulative applications for each month, which was not relevant information at this time. Jessica reminded the board that in 2025 and 2026, the chart will have renewals of contractors, mechanics and inspectors.  There was discussion about the numbers being broken out to reflect that when renewals are completed.</w:t>
      </w:r>
    </w:p>
    <w:p w14:paraId="0C50E883" w14:textId="77777777" w:rsidR="00414901" w:rsidRDefault="00414901" w:rsidP="00414901">
      <w:pPr>
        <w:pStyle w:val="ListParagraph"/>
      </w:pPr>
    </w:p>
    <w:p w14:paraId="236E5CDD" w14:textId="77777777" w:rsidR="00FF44F7" w:rsidRDefault="00230D54" w:rsidP="00D857D2">
      <w:pPr>
        <w:pStyle w:val="ListParagraph"/>
        <w:numPr>
          <w:ilvl w:val="0"/>
          <w:numId w:val="19"/>
        </w:numPr>
        <w:spacing w:after="0" w:line="240" w:lineRule="auto"/>
      </w:pPr>
      <w:r>
        <w:t xml:space="preserve">It was asked how many units actually </w:t>
      </w:r>
      <w:r w:rsidR="00F57582">
        <w:t>will be</w:t>
      </w:r>
      <w:r>
        <w:t xml:space="preserve"> registered</w:t>
      </w:r>
      <w:r w:rsidR="00DD035B">
        <w:t xml:space="preserve">; Mark Engholm stated he was told the estimate in the state of Kansas </w:t>
      </w:r>
      <w:r w:rsidR="00F57582">
        <w:t xml:space="preserve">is about 10,000 elevators. He also said that does not </w:t>
      </w:r>
      <w:r w:rsidR="00C83ECE">
        <w:t xml:space="preserve">count Sedgwick </w:t>
      </w:r>
      <w:r w:rsidR="00052C4C">
        <w:t>C</w:t>
      </w:r>
      <w:r w:rsidR="00C83ECE">
        <w:t xml:space="preserve">ounty because they inspect their own. Mark asked Jessica </w:t>
      </w:r>
      <w:r w:rsidR="00052C4C">
        <w:t>and Bill to reach out to Sedgwick County to find out what their elevator numbers</w:t>
      </w:r>
      <w:r w:rsidR="00DC71B1">
        <w:t xml:space="preserve"> were. Mark also said </w:t>
      </w:r>
      <w:r w:rsidR="00395814">
        <w:t>our office is engaging with a lot of different groups</w:t>
      </w:r>
      <w:r w:rsidR="005D5F1F">
        <w:t xml:space="preserve"> to help find out the number of elevators in the state.</w:t>
      </w:r>
      <w:r w:rsidR="008D1E60">
        <w:t xml:space="preserve"> Mark also said he feels good on the progress our </w:t>
      </w:r>
      <w:r w:rsidR="001F5093">
        <w:t>office is making receiving the elevator numbers.</w:t>
      </w:r>
    </w:p>
    <w:p w14:paraId="5BED6060" w14:textId="77777777" w:rsidR="00FF44F7" w:rsidRDefault="00FF44F7" w:rsidP="00FF44F7">
      <w:pPr>
        <w:pStyle w:val="ListParagraph"/>
      </w:pPr>
    </w:p>
    <w:p w14:paraId="22D4074C" w14:textId="4FE94AA4" w:rsidR="00883B85" w:rsidRDefault="00FD7B01" w:rsidP="00D857D2">
      <w:pPr>
        <w:pStyle w:val="ListParagraph"/>
        <w:numPr>
          <w:ilvl w:val="0"/>
          <w:numId w:val="19"/>
        </w:numPr>
        <w:spacing w:after="0" w:line="240" w:lineRule="auto"/>
      </w:pPr>
      <w:r w:rsidRPr="00FD7B01">
        <w:t xml:space="preserve">Jared Smith presented the 49% form to the board for review. He explained that there are several factors that go into determining whether the threshold to require the elevator to come up to 2022 ASME 17.1 code has been met.  Jared stated that at the bottom of the form there are eight pieces of documentation listed that must be provided for review.  Jared stated our office reached out to Jarrod Mann for his feedback on the 49% form and that his feedback was much appreciated. Mark Wendland and Jacob Poteete expressed a concern that the 49% form seems </w:t>
      </w:r>
      <w:r w:rsidRPr="00FD7B01">
        <w:lastRenderedPageBreak/>
        <w:t>confusing. Jared was asked to lead a subcommittee regarding the 49% form. Volunteering to serve on the subcommittee with Jared are Cole Haston, Brent Synder and Todd Stanton.</w:t>
      </w:r>
    </w:p>
    <w:p w14:paraId="153ED436" w14:textId="77777777" w:rsidR="00883B85" w:rsidRDefault="00883B85" w:rsidP="001A7A00">
      <w:pPr>
        <w:spacing w:after="0" w:line="240" w:lineRule="auto"/>
      </w:pPr>
    </w:p>
    <w:p w14:paraId="3D72D179" w14:textId="780D26DA" w:rsidR="00A510C1" w:rsidRDefault="00A510C1" w:rsidP="00D857D2">
      <w:pPr>
        <w:pStyle w:val="ListParagraph"/>
        <w:numPr>
          <w:ilvl w:val="0"/>
          <w:numId w:val="19"/>
        </w:numPr>
        <w:spacing w:after="0" w:line="240" w:lineRule="auto"/>
      </w:pPr>
      <w:r>
        <w:t xml:space="preserve">The Elevator Service Maintenance Agreement Exemption Procedure form was presented and </w:t>
      </w:r>
    </w:p>
    <w:p w14:paraId="78DAF71B" w14:textId="571703AB" w:rsidR="00A510C1" w:rsidRDefault="00A510C1" w:rsidP="00D857D2">
      <w:pPr>
        <w:spacing w:after="0" w:line="240" w:lineRule="auto"/>
        <w:ind w:left="720"/>
      </w:pPr>
      <w:r>
        <w:t>there was a concern expressed about private information contained on the service agreements being released to the public. The suggestion was made that our office could issue a certificate to avoid making the information on the agreement open to public acquisition.</w:t>
      </w:r>
    </w:p>
    <w:p w14:paraId="0346B316" w14:textId="77777777" w:rsidR="00A510C1" w:rsidRDefault="00A510C1" w:rsidP="00A510C1">
      <w:pPr>
        <w:spacing w:after="0" w:line="240" w:lineRule="auto"/>
      </w:pPr>
    </w:p>
    <w:p w14:paraId="46C481CB" w14:textId="398FF669" w:rsidR="002D174A" w:rsidRDefault="00A510C1" w:rsidP="00D857D2">
      <w:pPr>
        <w:pStyle w:val="ListParagraph"/>
        <w:numPr>
          <w:ilvl w:val="0"/>
          <w:numId w:val="19"/>
        </w:numPr>
        <w:spacing w:after="0" w:line="240" w:lineRule="auto"/>
      </w:pPr>
      <w:r>
        <w:t>The revised elevator registration form was presented to the board. There was a correction to remove “power driven stairway, moving walkway or stairway lift” from the form. Per the elevator code, only the stairway lift should appear on the application and the rest be removed.</w:t>
      </w:r>
    </w:p>
    <w:p w14:paraId="2843513A" w14:textId="77777777" w:rsidR="00A510C1" w:rsidRDefault="00A510C1" w:rsidP="00A510C1">
      <w:pPr>
        <w:pStyle w:val="ListParagraph"/>
        <w:spacing w:after="0" w:line="240" w:lineRule="auto"/>
        <w:ind w:left="870"/>
      </w:pPr>
    </w:p>
    <w:p w14:paraId="3DB3021C" w14:textId="0AC22462" w:rsidR="00E77EF8" w:rsidRDefault="00FE0D17" w:rsidP="00C50695">
      <w:pPr>
        <w:pStyle w:val="ListParagraph"/>
        <w:numPr>
          <w:ilvl w:val="0"/>
          <w:numId w:val="19"/>
        </w:numPr>
        <w:spacing w:after="0" w:line="240" w:lineRule="auto"/>
      </w:pPr>
      <w:r>
        <w:t>Cole Haston raised the topic of board members voting on the variances. He suggested that if a board member’s company has submitted a variance request, they should abstain from that variance request vote.  Mark Engholm agreed. Jarrod Mann also brought up a concern regarding a facility’s bid amount being disclosed on the contract within the variance packet.  Several board members stated that this information should not be disclosed.  Mark Engholm stated that the Fire Marshal’s office had no control over what information was submitted by the facilities, nor could the agency strike any of the information provided.</w:t>
      </w:r>
    </w:p>
    <w:p w14:paraId="6B9E0C29" w14:textId="77777777" w:rsidR="00E77EF8" w:rsidRDefault="00E77EF8" w:rsidP="00C50695">
      <w:pPr>
        <w:spacing w:after="0" w:line="240" w:lineRule="auto"/>
      </w:pPr>
    </w:p>
    <w:p w14:paraId="76D3891B" w14:textId="77777777" w:rsidR="00493DEE" w:rsidRDefault="00D857D2" w:rsidP="00493DEE">
      <w:pPr>
        <w:pStyle w:val="ListParagraph"/>
        <w:numPr>
          <w:ilvl w:val="0"/>
          <w:numId w:val="19"/>
        </w:numPr>
      </w:pPr>
      <w:r>
        <w:t>Two variance packets were presented to the elevator advisory board.</w:t>
      </w:r>
    </w:p>
    <w:p w14:paraId="2C3FBE21" w14:textId="77777777" w:rsidR="00493DEE" w:rsidRDefault="00493DEE" w:rsidP="00493DEE">
      <w:pPr>
        <w:pStyle w:val="ListParagraph"/>
      </w:pPr>
    </w:p>
    <w:p w14:paraId="54C7E65E" w14:textId="2AFC341C" w:rsidR="00D857D2" w:rsidRDefault="00D857D2" w:rsidP="0090466F">
      <w:pPr>
        <w:pStyle w:val="ListParagraph"/>
        <w:numPr>
          <w:ilvl w:val="1"/>
          <w:numId w:val="19"/>
        </w:numPr>
      </w:pPr>
      <w:r>
        <w:t xml:space="preserve">The first packet was for Coffeyville Community College requesting that the electrical panel be allowed to remain in the same location as the elevator controls.   The board reviewed the packed and approved the request. </w:t>
      </w:r>
    </w:p>
    <w:p w14:paraId="5D7D4F9B" w14:textId="77777777" w:rsidR="00493DEE" w:rsidRDefault="00493DEE" w:rsidP="00493DEE">
      <w:pPr>
        <w:pStyle w:val="ListParagraph"/>
        <w:ind w:left="1440"/>
      </w:pPr>
    </w:p>
    <w:p w14:paraId="13DD7C6B" w14:textId="14E4A8DA" w:rsidR="00D857D2" w:rsidRDefault="00D857D2" w:rsidP="0090466F">
      <w:pPr>
        <w:pStyle w:val="ListParagraph"/>
        <w:numPr>
          <w:ilvl w:val="1"/>
          <w:numId w:val="19"/>
        </w:numPr>
      </w:pPr>
      <w:r>
        <w:t>The second packet was for Kansas City Community College requesting to be exempt from having additional lighting requirements, pit ladder detection and a flood detection switch.  The board reviewed the packet and determined that the company’s contract was dated 2019, so the variance request was not needed.</w:t>
      </w:r>
    </w:p>
    <w:p w14:paraId="32FAC74D" w14:textId="77777777" w:rsidR="00D857D2" w:rsidRDefault="00D857D2" w:rsidP="00D857D2"/>
    <w:p w14:paraId="62E5245A" w14:textId="77777777" w:rsidR="00B648E7" w:rsidRDefault="00B648E7" w:rsidP="00242C23">
      <w:pPr>
        <w:spacing w:after="0" w:line="240" w:lineRule="auto"/>
        <w:jc w:val="both"/>
      </w:pPr>
    </w:p>
    <w:p w14:paraId="0BB07B8C" w14:textId="6F4D9EC1" w:rsidR="00B648E7" w:rsidRDefault="001C71DD" w:rsidP="00242C23">
      <w:pPr>
        <w:spacing w:after="0" w:line="240" w:lineRule="auto"/>
        <w:ind w:firstLine="360"/>
        <w:jc w:val="both"/>
      </w:pPr>
      <w:r>
        <w:t>N</w:t>
      </w:r>
      <w:r w:rsidR="00B648E7">
        <w:t>ext meeting</w:t>
      </w:r>
      <w:r w:rsidR="00D1137E">
        <w:t>:</w:t>
      </w:r>
      <w:r w:rsidR="00B648E7">
        <w:t xml:space="preserve"> </w:t>
      </w:r>
      <w:r w:rsidR="00D44273">
        <w:t xml:space="preserve"> </w:t>
      </w:r>
      <w:r w:rsidR="00FA7D54">
        <w:t>December</w:t>
      </w:r>
      <w:r w:rsidR="00D44273">
        <w:t xml:space="preserve"> </w:t>
      </w:r>
      <w:r w:rsidR="00FA7D54">
        <w:t>9th</w:t>
      </w:r>
      <w:r w:rsidR="00D44273">
        <w:t>, 2024, same place</w:t>
      </w:r>
      <w:r w:rsidR="009C177A">
        <w:t>,</w:t>
      </w:r>
      <w:r w:rsidR="003D795B">
        <w:t xml:space="preserve"> Eisenhower building,</w:t>
      </w:r>
      <w:r w:rsidR="009C177A">
        <w:t xml:space="preserve"> 10</w:t>
      </w:r>
      <w:r w:rsidR="003D795B">
        <w:t>:00</w:t>
      </w:r>
      <w:r w:rsidR="009C177A">
        <w:t>am</w:t>
      </w:r>
    </w:p>
    <w:p w14:paraId="0B70764F" w14:textId="77777777" w:rsidR="00B648E7" w:rsidRDefault="00B648E7" w:rsidP="00242C23">
      <w:pPr>
        <w:spacing w:after="0" w:line="240" w:lineRule="auto"/>
        <w:jc w:val="both"/>
      </w:pPr>
    </w:p>
    <w:p w14:paraId="6DFAB4B3" w14:textId="328E2C6E" w:rsidR="00AE2221" w:rsidRDefault="00AE2221" w:rsidP="00485544">
      <w:pPr>
        <w:spacing w:after="0" w:line="240" w:lineRule="auto"/>
        <w:ind w:left="360"/>
        <w:jc w:val="both"/>
      </w:pPr>
      <w:r>
        <w:t>Adjournment</w:t>
      </w:r>
      <w:r w:rsidR="00091820">
        <w:t xml:space="preserve"> </w:t>
      </w:r>
      <w:r w:rsidR="00F77763">
        <w:t>called by</w:t>
      </w:r>
      <w:r w:rsidR="00C13DD7">
        <w:t xml:space="preserve"> </w:t>
      </w:r>
      <w:r w:rsidR="00CD1A03">
        <w:t xml:space="preserve">Mark Engholm </w:t>
      </w:r>
      <w:r w:rsidR="003D59BF">
        <w:t>at 10:58 am</w:t>
      </w:r>
      <w:r w:rsidR="00C13DD7">
        <w:t xml:space="preserve">, </w:t>
      </w:r>
      <w:r w:rsidR="00C13DD7" w:rsidRPr="00C13DD7">
        <w:t>motioned by Jarrod Mann, Seconded by Senator Peters</w:t>
      </w:r>
      <w:r w:rsidR="00C13DD7">
        <w:t>e</w:t>
      </w:r>
      <w:r w:rsidR="00C13DD7" w:rsidRPr="00C13DD7">
        <w:t>n</w:t>
      </w:r>
    </w:p>
    <w:p w14:paraId="45F317AF" w14:textId="77777777" w:rsidR="00AE2221" w:rsidRDefault="00AE2221" w:rsidP="00242C23">
      <w:pPr>
        <w:pStyle w:val="ListParagraph"/>
        <w:spacing w:after="0" w:line="240" w:lineRule="auto"/>
        <w:ind w:left="870"/>
        <w:jc w:val="both"/>
      </w:pPr>
    </w:p>
    <w:p w14:paraId="19E07AB4" w14:textId="77777777" w:rsidR="00AE2221" w:rsidRDefault="00AE2221" w:rsidP="00242C23">
      <w:pPr>
        <w:spacing w:after="0" w:line="240" w:lineRule="auto"/>
        <w:ind w:firstLine="360"/>
        <w:jc w:val="both"/>
      </w:pPr>
      <w:r>
        <w:t>Minutes submitted by Jessica Dunderdale</w:t>
      </w:r>
    </w:p>
    <w:p w14:paraId="53D014F8" w14:textId="77777777" w:rsidR="00AE2221" w:rsidRDefault="00AE2221" w:rsidP="00242C23">
      <w:pPr>
        <w:spacing w:after="0" w:line="240" w:lineRule="auto"/>
        <w:ind w:firstLine="360"/>
        <w:jc w:val="both"/>
      </w:pPr>
      <w:r>
        <w:t>Minutes approved by</w:t>
      </w:r>
    </w:p>
    <w:p w14:paraId="29B80515" w14:textId="77777777" w:rsidR="0040398E" w:rsidRDefault="0040398E" w:rsidP="00242C23">
      <w:pPr>
        <w:pStyle w:val="ListParagraph"/>
        <w:spacing w:after="0" w:line="240" w:lineRule="auto"/>
        <w:ind w:left="870"/>
        <w:jc w:val="both"/>
      </w:pPr>
    </w:p>
    <w:p w14:paraId="6FA70DA6" w14:textId="77777777" w:rsidR="00261BC1" w:rsidRDefault="00261BC1" w:rsidP="00242C23">
      <w:pPr>
        <w:pStyle w:val="ListParagraph"/>
        <w:spacing w:after="0" w:line="240" w:lineRule="auto"/>
        <w:ind w:left="870"/>
        <w:jc w:val="both"/>
      </w:pPr>
    </w:p>
    <w:p w14:paraId="48A2C4DF" w14:textId="77777777" w:rsidR="00261BC1" w:rsidRDefault="00261BC1" w:rsidP="00242C23">
      <w:pPr>
        <w:pStyle w:val="ListParagraph"/>
        <w:spacing w:after="0" w:line="240" w:lineRule="auto"/>
        <w:ind w:left="870"/>
        <w:jc w:val="both"/>
      </w:pPr>
    </w:p>
    <w:p w14:paraId="4A3A7659" w14:textId="77777777" w:rsidR="00261BC1" w:rsidRDefault="00261BC1" w:rsidP="00242C23">
      <w:pPr>
        <w:pStyle w:val="ListParagraph"/>
        <w:spacing w:after="0" w:line="240" w:lineRule="auto"/>
        <w:ind w:left="870"/>
        <w:jc w:val="both"/>
      </w:pPr>
    </w:p>
    <w:p w14:paraId="4FA4D7B6" w14:textId="77777777" w:rsidR="00261BC1" w:rsidRDefault="00261BC1" w:rsidP="00242C23">
      <w:pPr>
        <w:pStyle w:val="ListParagraph"/>
        <w:spacing w:after="0" w:line="240" w:lineRule="auto"/>
        <w:ind w:left="870"/>
        <w:jc w:val="both"/>
      </w:pPr>
    </w:p>
    <w:p w14:paraId="11589CC0" w14:textId="77777777" w:rsidR="00261BC1" w:rsidRDefault="00261BC1" w:rsidP="00242C23">
      <w:pPr>
        <w:pStyle w:val="ListParagraph"/>
        <w:spacing w:after="0" w:line="240" w:lineRule="auto"/>
        <w:ind w:left="870"/>
        <w:jc w:val="both"/>
      </w:pPr>
    </w:p>
    <w:p w14:paraId="0D2BDE26" w14:textId="77777777" w:rsidR="00261BC1" w:rsidRDefault="00261BC1" w:rsidP="00242C23">
      <w:pPr>
        <w:pStyle w:val="ListParagraph"/>
        <w:spacing w:after="0" w:line="240" w:lineRule="auto"/>
        <w:ind w:left="870"/>
        <w:jc w:val="both"/>
      </w:pPr>
    </w:p>
    <w:p w14:paraId="075543C1" w14:textId="77777777" w:rsidR="00261BC1" w:rsidRDefault="00261BC1" w:rsidP="00242C23">
      <w:pPr>
        <w:pStyle w:val="ListParagraph"/>
        <w:spacing w:after="0" w:line="240" w:lineRule="auto"/>
        <w:ind w:left="870"/>
        <w:jc w:val="both"/>
      </w:pPr>
    </w:p>
    <w:p w14:paraId="5A921604" w14:textId="77777777" w:rsidR="00261BC1" w:rsidRDefault="00261BC1" w:rsidP="00242C23">
      <w:pPr>
        <w:pStyle w:val="ListParagraph"/>
        <w:spacing w:after="0" w:line="240" w:lineRule="auto"/>
        <w:ind w:left="870"/>
        <w:jc w:val="both"/>
      </w:pPr>
    </w:p>
    <w:p w14:paraId="4ED01DFD" w14:textId="77777777" w:rsidR="00261BC1" w:rsidRDefault="00261BC1" w:rsidP="00242C23">
      <w:pPr>
        <w:pStyle w:val="ListParagraph"/>
        <w:spacing w:after="0" w:line="240" w:lineRule="auto"/>
        <w:ind w:left="870"/>
        <w:jc w:val="both"/>
      </w:pPr>
    </w:p>
    <w:p w14:paraId="2DAD06D2" w14:textId="77777777" w:rsidR="00261BC1" w:rsidRDefault="00261BC1" w:rsidP="00242C23">
      <w:pPr>
        <w:pStyle w:val="ListParagraph"/>
        <w:spacing w:after="0" w:line="240" w:lineRule="auto"/>
        <w:ind w:left="870"/>
        <w:jc w:val="both"/>
      </w:pPr>
    </w:p>
    <w:p w14:paraId="2334BCF0" w14:textId="77777777" w:rsidR="00261BC1" w:rsidRDefault="00261BC1" w:rsidP="00242C23">
      <w:pPr>
        <w:pStyle w:val="ListParagraph"/>
        <w:spacing w:after="0" w:line="240" w:lineRule="auto"/>
        <w:ind w:left="870"/>
        <w:jc w:val="both"/>
      </w:pPr>
    </w:p>
    <w:p w14:paraId="7B7CD585" w14:textId="77777777" w:rsidR="008370EB" w:rsidRPr="008370EB" w:rsidRDefault="008370EB" w:rsidP="008370EB">
      <w:pPr>
        <w:spacing w:after="0" w:line="240" w:lineRule="auto"/>
        <w:rPr>
          <w:rFonts w:cstheme="minorHAnsi"/>
          <w:kern w:val="0"/>
          <w14:ligatures w14:val="none"/>
        </w:rPr>
      </w:pPr>
    </w:p>
    <w:p w14:paraId="7F1859B5" w14:textId="2EE315A1" w:rsidR="008370EB" w:rsidRPr="008370EB" w:rsidRDefault="008370EB" w:rsidP="008370EB">
      <w:pPr>
        <w:spacing w:after="0" w:line="240" w:lineRule="auto"/>
        <w:jc w:val="center"/>
        <w:rPr>
          <w:rFonts w:cstheme="minorHAnsi"/>
          <w:b/>
          <w:bCs/>
          <w:kern w:val="0"/>
          <w14:ligatures w14:val="none"/>
        </w:rPr>
      </w:pPr>
      <w:r w:rsidRPr="008370EB">
        <w:rPr>
          <w:rFonts w:cstheme="minorHAnsi"/>
          <w:b/>
          <w:bCs/>
          <w:kern w:val="0"/>
          <w14:ligatures w14:val="none"/>
        </w:rPr>
        <w:t>ELEVATOR NUMBERS MAR-SEPT 2024</w:t>
      </w:r>
      <w:r w:rsidR="007B2BA7">
        <w:rPr>
          <w:rFonts w:cstheme="minorHAnsi"/>
          <w:b/>
          <w:bCs/>
          <w:kern w:val="0"/>
          <w14:ligatures w14:val="none"/>
        </w:rPr>
        <w:t xml:space="preserve"> (</w:t>
      </w:r>
      <w:r w:rsidR="005F3D27" w:rsidRPr="005F3D27">
        <w:rPr>
          <w:rFonts w:cstheme="minorHAnsi"/>
          <w:b/>
          <w:bCs/>
          <w:i/>
          <w:iCs/>
          <w:kern w:val="0"/>
          <w14:ligatures w14:val="none"/>
        </w:rPr>
        <w:t>f</w:t>
      </w:r>
      <w:r w:rsidR="007B2BA7" w:rsidRPr="005F3D27">
        <w:rPr>
          <w:rFonts w:cstheme="minorHAnsi"/>
          <w:b/>
          <w:bCs/>
          <w:i/>
          <w:iCs/>
          <w:kern w:val="0"/>
          <w14:ligatures w14:val="none"/>
        </w:rPr>
        <w:t>or bullet #3)</w:t>
      </w:r>
    </w:p>
    <w:p w14:paraId="64366179" w14:textId="77777777" w:rsidR="008370EB" w:rsidRPr="008370EB" w:rsidRDefault="008370EB" w:rsidP="008370EB">
      <w:pPr>
        <w:spacing w:after="0" w:line="240" w:lineRule="auto"/>
        <w:jc w:val="center"/>
        <w:rPr>
          <w:rFonts w:cstheme="minorHAnsi"/>
          <w:b/>
          <w:bCs/>
          <w:kern w:val="0"/>
          <w14:ligatures w14:val="none"/>
        </w:rPr>
      </w:pPr>
      <w:r w:rsidRPr="008370EB">
        <w:rPr>
          <w:rFonts w:cstheme="minorHAnsi"/>
          <w:b/>
          <w:bCs/>
          <w:kern w:val="0"/>
          <w14:ligatures w14:val="none"/>
        </w:rPr>
        <w:t>New applications (except the registered elevators)</w:t>
      </w:r>
    </w:p>
    <w:p w14:paraId="15464E61" w14:textId="40706EBD" w:rsidR="008370EB" w:rsidRPr="008370EB" w:rsidRDefault="008370EB" w:rsidP="008370EB">
      <w:pPr>
        <w:spacing w:after="0" w:line="240" w:lineRule="auto"/>
        <w:rPr>
          <w:kern w:val="0"/>
          <w14:ligatures w14:val="none"/>
        </w:rPr>
      </w:pPr>
      <w:r w:rsidRPr="008370EB">
        <w:rPr>
          <w:rFonts w:cstheme="minorHAnsi"/>
          <w:kern w:val="0"/>
          <w14:ligatures w14:val="none"/>
        </w:rPr>
        <w:fldChar w:fldCharType="begin"/>
      </w:r>
      <w:r w:rsidRPr="008370EB">
        <w:rPr>
          <w:rFonts w:cstheme="minorHAnsi"/>
          <w:kern w:val="0"/>
          <w14:ligatures w14:val="none"/>
        </w:rPr>
        <w:instrText xml:space="preserve"> LINK </w:instrText>
      </w:r>
      <w:r w:rsidR="007A3111">
        <w:rPr>
          <w:rFonts w:cstheme="minorHAnsi"/>
          <w:kern w:val="0"/>
          <w14:ligatures w14:val="none"/>
        </w:rPr>
        <w:instrText xml:space="preserve">Excel.Sheet.12 "C:\\Users\\jdunderdale\\Desktop\\Elevator Numbers Spreadsheet.xlsx" 2024!R1C1:R15C7 </w:instrText>
      </w:r>
      <w:r w:rsidRPr="008370EB">
        <w:rPr>
          <w:rFonts w:cstheme="minorHAnsi"/>
          <w:kern w:val="0"/>
          <w14:ligatures w14:val="none"/>
        </w:rPr>
        <w:instrText xml:space="preserve">\a \f 5 \h  \* MERGEFORMAT </w:instrText>
      </w:r>
      <w:r w:rsidRPr="008370EB">
        <w:rPr>
          <w:rFonts w:cstheme="minorHAnsi"/>
          <w:kern w:val="0"/>
          <w14:ligatures w14:val="none"/>
        </w:rPr>
        <w:fldChar w:fldCharType="separate"/>
      </w:r>
    </w:p>
    <w:p w14:paraId="09970760" w14:textId="77777777" w:rsidR="002B47C4" w:rsidRPr="008370EB" w:rsidRDefault="008370EB" w:rsidP="008370EB">
      <w:pPr>
        <w:spacing w:after="0" w:line="240" w:lineRule="auto"/>
        <w:rPr>
          <w:rFonts w:cstheme="minorHAnsi"/>
          <w:kern w:val="0"/>
          <w14:ligatures w14:val="none"/>
        </w:rPr>
      </w:pPr>
      <w:r w:rsidRPr="008370EB">
        <w:rPr>
          <w:rFonts w:cstheme="minorHAnsi"/>
          <w:kern w:val="0"/>
          <w14:ligatures w14:val="none"/>
        </w:rPr>
        <w:fldChar w:fldCharType="end"/>
      </w:r>
    </w:p>
    <w:tbl>
      <w:tblPr>
        <w:tblStyle w:val="TableGrid"/>
        <w:tblpPr w:leftFromText="180" w:rightFromText="180" w:vertAnchor="text" w:horzAnchor="page" w:tblpX="1921" w:tblpY="97"/>
        <w:tblW w:w="9448" w:type="dxa"/>
        <w:tblLook w:val="04A0" w:firstRow="1" w:lastRow="0" w:firstColumn="1" w:lastColumn="0" w:noHBand="0" w:noVBand="1"/>
      </w:tblPr>
      <w:tblGrid>
        <w:gridCol w:w="2131"/>
        <w:gridCol w:w="795"/>
        <w:gridCol w:w="842"/>
        <w:gridCol w:w="842"/>
        <w:gridCol w:w="842"/>
        <w:gridCol w:w="842"/>
        <w:gridCol w:w="842"/>
        <w:gridCol w:w="1203"/>
        <w:gridCol w:w="222"/>
        <w:gridCol w:w="887"/>
      </w:tblGrid>
      <w:tr w:rsidR="002B47C4" w:rsidRPr="008370EB" w14:paraId="17CAAF43" w14:textId="77777777" w:rsidTr="002B47C4">
        <w:trPr>
          <w:trHeight w:val="184"/>
        </w:trPr>
        <w:tc>
          <w:tcPr>
            <w:tcW w:w="2131" w:type="dxa"/>
            <w:noWrap/>
            <w:hideMark/>
          </w:tcPr>
          <w:p w14:paraId="02029511" w14:textId="77777777" w:rsidR="002B47C4" w:rsidRPr="008370EB" w:rsidRDefault="002B47C4" w:rsidP="002B47C4">
            <w:pPr>
              <w:jc w:val="center"/>
            </w:pPr>
            <w:r w:rsidRPr="008370EB">
              <w:t>Categories</w:t>
            </w:r>
          </w:p>
        </w:tc>
        <w:tc>
          <w:tcPr>
            <w:tcW w:w="795" w:type="dxa"/>
            <w:noWrap/>
            <w:hideMark/>
          </w:tcPr>
          <w:p w14:paraId="381D6094" w14:textId="77777777" w:rsidR="002B47C4" w:rsidRPr="008370EB" w:rsidRDefault="002B47C4" w:rsidP="002B47C4">
            <w:r w:rsidRPr="008370EB">
              <w:t>March</w:t>
            </w:r>
          </w:p>
        </w:tc>
        <w:tc>
          <w:tcPr>
            <w:tcW w:w="842" w:type="dxa"/>
            <w:noWrap/>
            <w:hideMark/>
          </w:tcPr>
          <w:p w14:paraId="5A0ED878" w14:textId="77777777" w:rsidR="002B47C4" w:rsidRPr="008370EB" w:rsidRDefault="002B47C4" w:rsidP="002B47C4">
            <w:r w:rsidRPr="008370EB">
              <w:t>April</w:t>
            </w:r>
          </w:p>
        </w:tc>
        <w:tc>
          <w:tcPr>
            <w:tcW w:w="842" w:type="dxa"/>
            <w:noWrap/>
            <w:hideMark/>
          </w:tcPr>
          <w:p w14:paraId="0693681C" w14:textId="77777777" w:rsidR="002B47C4" w:rsidRPr="008370EB" w:rsidRDefault="002B47C4" w:rsidP="002B47C4">
            <w:r w:rsidRPr="008370EB">
              <w:t>May</w:t>
            </w:r>
          </w:p>
        </w:tc>
        <w:tc>
          <w:tcPr>
            <w:tcW w:w="842" w:type="dxa"/>
            <w:noWrap/>
            <w:hideMark/>
          </w:tcPr>
          <w:p w14:paraId="600DBEF4" w14:textId="77777777" w:rsidR="002B47C4" w:rsidRPr="008370EB" w:rsidRDefault="002B47C4" w:rsidP="002B47C4">
            <w:r w:rsidRPr="008370EB">
              <w:t>June</w:t>
            </w:r>
          </w:p>
        </w:tc>
        <w:tc>
          <w:tcPr>
            <w:tcW w:w="842" w:type="dxa"/>
            <w:noWrap/>
            <w:hideMark/>
          </w:tcPr>
          <w:p w14:paraId="0A638D1B" w14:textId="77777777" w:rsidR="002B47C4" w:rsidRPr="008370EB" w:rsidRDefault="002B47C4" w:rsidP="002B47C4">
            <w:r w:rsidRPr="008370EB">
              <w:t>July</w:t>
            </w:r>
          </w:p>
        </w:tc>
        <w:tc>
          <w:tcPr>
            <w:tcW w:w="842" w:type="dxa"/>
            <w:noWrap/>
            <w:hideMark/>
          </w:tcPr>
          <w:p w14:paraId="2828FEF4" w14:textId="77777777" w:rsidR="002B47C4" w:rsidRPr="008370EB" w:rsidRDefault="002B47C4" w:rsidP="002B47C4">
            <w:r w:rsidRPr="008370EB">
              <w:t>August</w:t>
            </w:r>
          </w:p>
        </w:tc>
        <w:tc>
          <w:tcPr>
            <w:tcW w:w="1203" w:type="dxa"/>
            <w:noWrap/>
            <w:hideMark/>
          </w:tcPr>
          <w:p w14:paraId="47C9AEAE" w14:textId="77777777" w:rsidR="002B47C4" w:rsidRPr="008370EB" w:rsidRDefault="002B47C4" w:rsidP="002B47C4">
            <w:r w:rsidRPr="008370EB">
              <w:t>September</w:t>
            </w:r>
          </w:p>
        </w:tc>
        <w:tc>
          <w:tcPr>
            <w:tcW w:w="222" w:type="dxa"/>
          </w:tcPr>
          <w:p w14:paraId="1F3F3376" w14:textId="77777777" w:rsidR="002B47C4" w:rsidRPr="008370EB" w:rsidRDefault="002B47C4" w:rsidP="002B47C4">
            <w:pPr>
              <w:spacing w:line="259" w:lineRule="auto"/>
              <w:jc w:val="center"/>
              <w:rPr>
                <w:rFonts w:ascii="Aptos Narrow" w:hAnsi="Aptos Narrow"/>
                <w:color w:val="000000"/>
              </w:rPr>
            </w:pPr>
          </w:p>
        </w:tc>
        <w:tc>
          <w:tcPr>
            <w:tcW w:w="887" w:type="dxa"/>
            <w:vAlign w:val="bottom"/>
          </w:tcPr>
          <w:p w14:paraId="56A5FF12" w14:textId="77777777" w:rsidR="002B47C4" w:rsidRPr="008370EB" w:rsidRDefault="002B47C4" w:rsidP="002B47C4">
            <w:pPr>
              <w:spacing w:line="259" w:lineRule="auto"/>
              <w:jc w:val="center"/>
              <w:rPr>
                <w:rFonts w:ascii="Aptos Narrow" w:hAnsi="Aptos Narrow"/>
                <w:color w:val="000000"/>
              </w:rPr>
            </w:pPr>
            <w:r w:rsidRPr="008370EB">
              <w:rPr>
                <w:rFonts w:ascii="Aptos Narrow" w:hAnsi="Aptos Narrow"/>
                <w:color w:val="000000"/>
              </w:rPr>
              <w:t>2023-Current</w:t>
            </w:r>
          </w:p>
          <w:p w14:paraId="39374123" w14:textId="77777777" w:rsidR="002B47C4" w:rsidRPr="008370EB" w:rsidRDefault="002B47C4" w:rsidP="002B47C4">
            <w:pPr>
              <w:spacing w:line="259" w:lineRule="auto"/>
              <w:jc w:val="center"/>
            </w:pPr>
            <w:r w:rsidRPr="008370EB">
              <w:t>Total</w:t>
            </w:r>
          </w:p>
        </w:tc>
      </w:tr>
      <w:tr w:rsidR="002B47C4" w:rsidRPr="008370EB" w14:paraId="2E90E398" w14:textId="77777777" w:rsidTr="002B47C4">
        <w:trPr>
          <w:trHeight w:val="184"/>
        </w:trPr>
        <w:tc>
          <w:tcPr>
            <w:tcW w:w="2131" w:type="dxa"/>
            <w:noWrap/>
            <w:hideMark/>
          </w:tcPr>
          <w:p w14:paraId="55B2651F" w14:textId="77777777" w:rsidR="002B47C4" w:rsidRPr="008370EB" w:rsidRDefault="002B47C4" w:rsidP="002B47C4">
            <w:r w:rsidRPr="008370EB">
              <w:t> </w:t>
            </w:r>
          </w:p>
        </w:tc>
        <w:tc>
          <w:tcPr>
            <w:tcW w:w="795" w:type="dxa"/>
            <w:noWrap/>
            <w:hideMark/>
          </w:tcPr>
          <w:p w14:paraId="37DE308D" w14:textId="77777777" w:rsidR="002B47C4" w:rsidRPr="008370EB" w:rsidRDefault="002B47C4" w:rsidP="002B47C4">
            <w:r w:rsidRPr="008370EB">
              <w:t> </w:t>
            </w:r>
          </w:p>
        </w:tc>
        <w:tc>
          <w:tcPr>
            <w:tcW w:w="842" w:type="dxa"/>
            <w:noWrap/>
            <w:hideMark/>
          </w:tcPr>
          <w:p w14:paraId="61F96657" w14:textId="77777777" w:rsidR="002B47C4" w:rsidRPr="008370EB" w:rsidRDefault="002B47C4" w:rsidP="002B47C4">
            <w:r w:rsidRPr="008370EB">
              <w:t> </w:t>
            </w:r>
          </w:p>
        </w:tc>
        <w:tc>
          <w:tcPr>
            <w:tcW w:w="842" w:type="dxa"/>
            <w:noWrap/>
            <w:hideMark/>
          </w:tcPr>
          <w:p w14:paraId="37D7FEA2" w14:textId="77777777" w:rsidR="002B47C4" w:rsidRPr="008370EB" w:rsidRDefault="002B47C4" w:rsidP="002B47C4">
            <w:r w:rsidRPr="008370EB">
              <w:t> </w:t>
            </w:r>
          </w:p>
        </w:tc>
        <w:tc>
          <w:tcPr>
            <w:tcW w:w="842" w:type="dxa"/>
            <w:noWrap/>
            <w:hideMark/>
          </w:tcPr>
          <w:p w14:paraId="74505D52" w14:textId="77777777" w:rsidR="002B47C4" w:rsidRPr="008370EB" w:rsidRDefault="002B47C4" w:rsidP="002B47C4">
            <w:r w:rsidRPr="008370EB">
              <w:t> </w:t>
            </w:r>
          </w:p>
        </w:tc>
        <w:tc>
          <w:tcPr>
            <w:tcW w:w="842" w:type="dxa"/>
            <w:noWrap/>
            <w:hideMark/>
          </w:tcPr>
          <w:p w14:paraId="4A191623" w14:textId="77777777" w:rsidR="002B47C4" w:rsidRPr="008370EB" w:rsidRDefault="002B47C4" w:rsidP="002B47C4">
            <w:r w:rsidRPr="008370EB">
              <w:t> </w:t>
            </w:r>
          </w:p>
        </w:tc>
        <w:tc>
          <w:tcPr>
            <w:tcW w:w="842" w:type="dxa"/>
            <w:noWrap/>
            <w:hideMark/>
          </w:tcPr>
          <w:p w14:paraId="3F732697" w14:textId="77777777" w:rsidR="002B47C4" w:rsidRPr="008370EB" w:rsidRDefault="002B47C4" w:rsidP="002B47C4">
            <w:r w:rsidRPr="008370EB">
              <w:t> </w:t>
            </w:r>
          </w:p>
        </w:tc>
        <w:tc>
          <w:tcPr>
            <w:tcW w:w="1203" w:type="dxa"/>
            <w:noWrap/>
            <w:hideMark/>
          </w:tcPr>
          <w:p w14:paraId="3F9C3B95" w14:textId="77777777" w:rsidR="002B47C4" w:rsidRPr="008370EB" w:rsidRDefault="002B47C4" w:rsidP="002B47C4">
            <w:r w:rsidRPr="008370EB">
              <w:t> </w:t>
            </w:r>
          </w:p>
        </w:tc>
        <w:tc>
          <w:tcPr>
            <w:tcW w:w="0" w:type="auto"/>
          </w:tcPr>
          <w:p w14:paraId="67A69CF7" w14:textId="77777777" w:rsidR="002B47C4" w:rsidRPr="008370EB" w:rsidRDefault="002B47C4" w:rsidP="002B47C4">
            <w:pPr>
              <w:spacing w:line="259" w:lineRule="auto"/>
              <w:rPr>
                <w:rFonts w:ascii="Aptos Narrow" w:hAnsi="Aptos Narrow"/>
                <w:color w:val="000000"/>
              </w:rPr>
            </w:pPr>
          </w:p>
        </w:tc>
        <w:tc>
          <w:tcPr>
            <w:tcW w:w="887" w:type="dxa"/>
            <w:vAlign w:val="bottom"/>
          </w:tcPr>
          <w:p w14:paraId="7DE0A7C3" w14:textId="77777777" w:rsidR="002B47C4" w:rsidRPr="008370EB" w:rsidRDefault="002B47C4" w:rsidP="002B47C4">
            <w:pPr>
              <w:spacing w:line="259" w:lineRule="auto"/>
            </w:pPr>
            <w:r w:rsidRPr="008370EB">
              <w:rPr>
                <w:rFonts w:ascii="Aptos Narrow" w:hAnsi="Aptos Narrow"/>
                <w:color w:val="000000"/>
              </w:rPr>
              <w:t> </w:t>
            </w:r>
          </w:p>
        </w:tc>
      </w:tr>
      <w:tr w:rsidR="002B47C4" w:rsidRPr="008370EB" w14:paraId="58BFDB0B" w14:textId="77777777" w:rsidTr="002B47C4">
        <w:trPr>
          <w:trHeight w:val="184"/>
        </w:trPr>
        <w:tc>
          <w:tcPr>
            <w:tcW w:w="2131" w:type="dxa"/>
            <w:noWrap/>
            <w:hideMark/>
          </w:tcPr>
          <w:p w14:paraId="07780C86" w14:textId="77777777" w:rsidR="002B47C4" w:rsidRPr="008370EB" w:rsidRDefault="002B47C4" w:rsidP="002B47C4">
            <w:r w:rsidRPr="008370EB">
              <w:t>Contractor-new apps</w:t>
            </w:r>
          </w:p>
        </w:tc>
        <w:tc>
          <w:tcPr>
            <w:tcW w:w="795" w:type="dxa"/>
            <w:noWrap/>
            <w:hideMark/>
          </w:tcPr>
          <w:p w14:paraId="23851D0A" w14:textId="77777777" w:rsidR="002B47C4" w:rsidRPr="008370EB" w:rsidRDefault="002B47C4" w:rsidP="002B47C4">
            <w:pPr>
              <w:jc w:val="center"/>
            </w:pPr>
            <w:r w:rsidRPr="008370EB">
              <w:t>1</w:t>
            </w:r>
          </w:p>
        </w:tc>
        <w:tc>
          <w:tcPr>
            <w:tcW w:w="842" w:type="dxa"/>
            <w:noWrap/>
            <w:hideMark/>
          </w:tcPr>
          <w:p w14:paraId="44B7D07D" w14:textId="77777777" w:rsidR="002B47C4" w:rsidRPr="008370EB" w:rsidRDefault="002B47C4" w:rsidP="002B47C4">
            <w:pPr>
              <w:jc w:val="center"/>
            </w:pPr>
            <w:r w:rsidRPr="008370EB">
              <w:t>0</w:t>
            </w:r>
          </w:p>
        </w:tc>
        <w:tc>
          <w:tcPr>
            <w:tcW w:w="842" w:type="dxa"/>
            <w:noWrap/>
            <w:hideMark/>
          </w:tcPr>
          <w:p w14:paraId="5AC62CAA" w14:textId="77777777" w:rsidR="002B47C4" w:rsidRPr="008370EB" w:rsidRDefault="002B47C4" w:rsidP="002B47C4">
            <w:pPr>
              <w:jc w:val="center"/>
            </w:pPr>
            <w:r w:rsidRPr="008370EB">
              <w:t>1</w:t>
            </w:r>
          </w:p>
        </w:tc>
        <w:tc>
          <w:tcPr>
            <w:tcW w:w="842" w:type="dxa"/>
            <w:noWrap/>
            <w:hideMark/>
          </w:tcPr>
          <w:p w14:paraId="7FAC6D1D" w14:textId="77777777" w:rsidR="002B47C4" w:rsidRPr="008370EB" w:rsidRDefault="002B47C4" w:rsidP="002B47C4">
            <w:pPr>
              <w:jc w:val="center"/>
            </w:pPr>
            <w:r w:rsidRPr="008370EB">
              <w:t>0</w:t>
            </w:r>
          </w:p>
        </w:tc>
        <w:tc>
          <w:tcPr>
            <w:tcW w:w="842" w:type="dxa"/>
            <w:noWrap/>
            <w:hideMark/>
          </w:tcPr>
          <w:p w14:paraId="14E2FF4D" w14:textId="77777777" w:rsidR="002B47C4" w:rsidRPr="008370EB" w:rsidRDefault="002B47C4" w:rsidP="002B47C4">
            <w:pPr>
              <w:jc w:val="center"/>
            </w:pPr>
            <w:r w:rsidRPr="008370EB">
              <w:t>0</w:t>
            </w:r>
          </w:p>
        </w:tc>
        <w:tc>
          <w:tcPr>
            <w:tcW w:w="842" w:type="dxa"/>
            <w:noWrap/>
            <w:hideMark/>
          </w:tcPr>
          <w:p w14:paraId="6368F9EC" w14:textId="77777777" w:rsidR="002B47C4" w:rsidRPr="008370EB" w:rsidRDefault="002B47C4" w:rsidP="002B47C4">
            <w:pPr>
              <w:jc w:val="center"/>
            </w:pPr>
            <w:r w:rsidRPr="008370EB">
              <w:t>1</w:t>
            </w:r>
          </w:p>
        </w:tc>
        <w:tc>
          <w:tcPr>
            <w:tcW w:w="1203" w:type="dxa"/>
            <w:noWrap/>
            <w:hideMark/>
          </w:tcPr>
          <w:p w14:paraId="4D48C17A" w14:textId="77777777" w:rsidR="002B47C4" w:rsidRPr="008370EB" w:rsidRDefault="002B47C4" w:rsidP="002B47C4">
            <w:pPr>
              <w:jc w:val="center"/>
            </w:pPr>
            <w:r w:rsidRPr="008370EB">
              <w:t>0</w:t>
            </w:r>
          </w:p>
        </w:tc>
        <w:tc>
          <w:tcPr>
            <w:tcW w:w="0" w:type="auto"/>
          </w:tcPr>
          <w:p w14:paraId="7B3350FD" w14:textId="77777777" w:rsidR="002B47C4" w:rsidRPr="008370EB" w:rsidRDefault="002B47C4" w:rsidP="002B47C4">
            <w:pPr>
              <w:spacing w:line="259" w:lineRule="auto"/>
              <w:jc w:val="center"/>
              <w:rPr>
                <w:rFonts w:ascii="Aptos Narrow" w:hAnsi="Aptos Narrow"/>
                <w:color w:val="000000"/>
              </w:rPr>
            </w:pPr>
          </w:p>
        </w:tc>
        <w:tc>
          <w:tcPr>
            <w:tcW w:w="887" w:type="dxa"/>
            <w:vAlign w:val="bottom"/>
          </w:tcPr>
          <w:p w14:paraId="7AB6FAC9" w14:textId="77777777" w:rsidR="002B47C4" w:rsidRPr="008370EB" w:rsidRDefault="002B47C4" w:rsidP="002B47C4">
            <w:pPr>
              <w:spacing w:line="259" w:lineRule="auto"/>
              <w:jc w:val="center"/>
            </w:pPr>
            <w:r w:rsidRPr="008370EB">
              <w:rPr>
                <w:rFonts w:ascii="Aptos Narrow" w:hAnsi="Aptos Narrow"/>
                <w:color w:val="000000"/>
              </w:rPr>
              <w:t>33</w:t>
            </w:r>
          </w:p>
        </w:tc>
      </w:tr>
      <w:tr w:rsidR="002B47C4" w:rsidRPr="008370EB" w14:paraId="31C6F7F5" w14:textId="77777777" w:rsidTr="002B47C4">
        <w:trPr>
          <w:trHeight w:val="184"/>
        </w:trPr>
        <w:tc>
          <w:tcPr>
            <w:tcW w:w="2131" w:type="dxa"/>
            <w:noWrap/>
            <w:hideMark/>
          </w:tcPr>
          <w:p w14:paraId="53430FBC" w14:textId="77777777" w:rsidR="002B47C4" w:rsidRPr="008370EB" w:rsidRDefault="002B47C4" w:rsidP="002B47C4">
            <w:r w:rsidRPr="008370EB">
              <w:t>Inspector-new apps</w:t>
            </w:r>
          </w:p>
        </w:tc>
        <w:tc>
          <w:tcPr>
            <w:tcW w:w="795" w:type="dxa"/>
            <w:noWrap/>
            <w:hideMark/>
          </w:tcPr>
          <w:p w14:paraId="4EBF77DD" w14:textId="77777777" w:rsidR="002B47C4" w:rsidRPr="008370EB" w:rsidRDefault="002B47C4" w:rsidP="002B47C4">
            <w:pPr>
              <w:jc w:val="center"/>
            </w:pPr>
            <w:r w:rsidRPr="008370EB">
              <w:t>2</w:t>
            </w:r>
          </w:p>
        </w:tc>
        <w:tc>
          <w:tcPr>
            <w:tcW w:w="842" w:type="dxa"/>
            <w:noWrap/>
            <w:hideMark/>
          </w:tcPr>
          <w:p w14:paraId="22662796" w14:textId="77777777" w:rsidR="002B47C4" w:rsidRPr="008370EB" w:rsidRDefault="002B47C4" w:rsidP="002B47C4">
            <w:pPr>
              <w:jc w:val="center"/>
            </w:pPr>
            <w:r w:rsidRPr="008370EB">
              <w:t>0</w:t>
            </w:r>
          </w:p>
        </w:tc>
        <w:tc>
          <w:tcPr>
            <w:tcW w:w="842" w:type="dxa"/>
            <w:noWrap/>
            <w:hideMark/>
          </w:tcPr>
          <w:p w14:paraId="44097837" w14:textId="77777777" w:rsidR="002B47C4" w:rsidRPr="008370EB" w:rsidRDefault="002B47C4" w:rsidP="002B47C4">
            <w:pPr>
              <w:jc w:val="center"/>
            </w:pPr>
            <w:r w:rsidRPr="008370EB">
              <w:t>1</w:t>
            </w:r>
          </w:p>
        </w:tc>
        <w:tc>
          <w:tcPr>
            <w:tcW w:w="842" w:type="dxa"/>
            <w:noWrap/>
            <w:hideMark/>
          </w:tcPr>
          <w:p w14:paraId="3A559DD6" w14:textId="77777777" w:rsidR="002B47C4" w:rsidRPr="008370EB" w:rsidRDefault="002B47C4" w:rsidP="002B47C4">
            <w:pPr>
              <w:jc w:val="center"/>
            </w:pPr>
            <w:r w:rsidRPr="008370EB">
              <w:t>0</w:t>
            </w:r>
          </w:p>
        </w:tc>
        <w:tc>
          <w:tcPr>
            <w:tcW w:w="842" w:type="dxa"/>
            <w:noWrap/>
            <w:hideMark/>
          </w:tcPr>
          <w:p w14:paraId="0194FC01" w14:textId="77777777" w:rsidR="002B47C4" w:rsidRPr="008370EB" w:rsidRDefault="002B47C4" w:rsidP="002B47C4">
            <w:pPr>
              <w:jc w:val="center"/>
            </w:pPr>
            <w:r w:rsidRPr="008370EB">
              <w:t>0</w:t>
            </w:r>
          </w:p>
        </w:tc>
        <w:tc>
          <w:tcPr>
            <w:tcW w:w="842" w:type="dxa"/>
            <w:noWrap/>
            <w:hideMark/>
          </w:tcPr>
          <w:p w14:paraId="4B945CFF" w14:textId="77777777" w:rsidR="002B47C4" w:rsidRPr="008370EB" w:rsidRDefault="002B47C4" w:rsidP="002B47C4">
            <w:pPr>
              <w:jc w:val="center"/>
            </w:pPr>
            <w:r w:rsidRPr="008370EB">
              <w:t>1</w:t>
            </w:r>
          </w:p>
        </w:tc>
        <w:tc>
          <w:tcPr>
            <w:tcW w:w="1203" w:type="dxa"/>
            <w:noWrap/>
            <w:hideMark/>
          </w:tcPr>
          <w:p w14:paraId="15C08A0B" w14:textId="77777777" w:rsidR="002B47C4" w:rsidRPr="008370EB" w:rsidRDefault="002B47C4" w:rsidP="002B47C4">
            <w:pPr>
              <w:jc w:val="center"/>
            </w:pPr>
            <w:r w:rsidRPr="008370EB">
              <w:t>0</w:t>
            </w:r>
          </w:p>
        </w:tc>
        <w:tc>
          <w:tcPr>
            <w:tcW w:w="0" w:type="auto"/>
          </w:tcPr>
          <w:p w14:paraId="167C7A0D" w14:textId="77777777" w:rsidR="002B47C4" w:rsidRPr="008370EB" w:rsidRDefault="002B47C4" w:rsidP="002B47C4">
            <w:pPr>
              <w:spacing w:line="259" w:lineRule="auto"/>
              <w:jc w:val="center"/>
              <w:rPr>
                <w:rFonts w:ascii="Aptos Narrow" w:hAnsi="Aptos Narrow"/>
                <w:color w:val="000000"/>
              </w:rPr>
            </w:pPr>
          </w:p>
        </w:tc>
        <w:tc>
          <w:tcPr>
            <w:tcW w:w="887" w:type="dxa"/>
            <w:vAlign w:val="bottom"/>
          </w:tcPr>
          <w:p w14:paraId="40630516" w14:textId="77777777" w:rsidR="002B47C4" w:rsidRPr="008370EB" w:rsidRDefault="002B47C4" w:rsidP="002B47C4">
            <w:pPr>
              <w:spacing w:line="259" w:lineRule="auto"/>
              <w:jc w:val="center"/>
            </w:pPr>
            <w:r w:rsidRPr="008370EB">
              <w:rPr>
                <w:rFonts w:ascii="Aptos Narrow" w:hAnsi="Aptos Narrow"/>
                <w:color w:val="000000"/>
              </w:rPr>
              <w:t>23</w:t>
            </w:r>
          </w:p>
        </w:tc>
      </w:tr>
      <w:tr w:rsidR="002B47C4" w:rsidRPr="008370EB" w14:paraId="3D9CC5CD" w14:textId="77777777" w:rsidTr="002B47C4">
        <w:trPr>
          <w:trHeight w:val="184"/>
        </w:trPr>
        <w:tc>
          <w:tcPr>
            <w:tcW w:w="2131" w:type="dxa"/>
            <w:noWrap/>
            <w:hideMark/>
          </w:tcPr>
          <w:p w14:paraId="3923391D" w14:textId="77777777" w:rsidR="002B47C4" w:rsidRPr="008370EB" w:rsidRDefault="002B47C4" w:rsidP="002B47C4">
            <w:r w:rsidRPr="008370EB">
              <w:t>Mechanics-new apps</w:t>
            </w:r>
          </w:p>
        </w:tc>
        <w:tc>
          <w:tcPr>
            <w:tcW w:w="795" w:type="dxa"/>
            <w:noWrap/>
            <w:hideMark/>
          </w:tcPr>
          <w:p w14:paraId="1752CF7A" w14:textId="77777777" w:rsidR="002B47C4" w:rsidRPr="008370EB" w:rsidRDefault="002B47C4" w:rsidP="002B47C4">
            <w:pPr>
              <w:jc w:val="center"/>
            </w:pPr>
            <w:r w:rsidRPr="008370EB">
              <w:t>2</w:t>
            </w:r>
          </w:p>
        </w:tc>
        <w:tc>
          <w:tcPr>
            <w:tcW w:w="842" w:type="dxa"/>
            <w:noWrap/>
            <w:hideMark/>
          </w:tcPr>
          <w:p w14:paraId="5EEE28CD" w14:textId="77777777" w:rsidR="002B47C4" w:rsidRPr="008370EB" w:rsidRDefault="002B47C4" w:rsidP="002B47C4">
            <w:pPr>
              <w:jc w:val="center"/>
            </w:pPr>
            <w:r w:rsidRPr="008370EB">
              <w:t>4</w:t>
            </w:r>
          </w:p>
        </w:tc>
        <w:tc>
          <w:tcPr>
            <w:tcW w:w="842" w:type="dxa"/>
            <w:noWrap/>
            <w:hideMark/>
          </w:tcPr>
          <w:p w14:paraId="71A02420" w14:textId="77777777" w:rsidR="002B47C4" w:rsidRPr="008370EB" w:rsidRDefault="002B47C4" w:rsidP="002B47C4">
            <w:pPr>
              <w:jc w:val="center"/>
            </w:pPr>
            <w:r w:rsidRPr="008370EB">
              <w:t>9</w:t>
            </w:r>
          </w:p>
        </w:tc>
        <w:tc>
          <w:tcPr>
            <w:tcW w:w="842" w:type="dxa"/>
            <w:noWrap/>
            <w:hideMark/>
          </w:tcPr>
          <w:p w14:paraId="2796CFCB" w14:textId="77777777" w:rsidR="002B47C4" w:rsidRPr="008370EB" w:rsidRDefault="002B47C4" w:rsidP="002B47C4">
            <w:pPr>
              <w:jc w:val="center"/>
            </w:pPr>
            <w:r w:rsidRPr="008370EB">
              <w:t>2</w:t>
            </w:r>
          </w:p>
        </w:tc>
        <w:tc>
          <w:tcPr>
            <w:tcW w:w="842" w:type="dxa"/>
            <w:noWrap/>
            <w:hideMark/>
          </w:tcPr>
          <w:p w14:paraId="5FAE7570" w14:textId="77777777" w:rsidR="002B47C4" w:rsidRPr="008370EB" w:rsidRDefault="002B47C4" w:rsidP="002B47C4">
            <w:pPr>
              <w:jc w:val="center"/>
            </w:pPr>
            <w:r w:rsidRPr="008370EB">
              <w:t>4</w:t>
            </w:r>
          </w:p>
        </w:tc>
        <w:tc>
          <w:tcPr>
            <w:tcW w:w="842" w:type="dxa"/>
            <w:noWrap/>
            <w:hideMark/>
          </w:tcPr>
          <w:p w14:paraId="42DC2999" w14:textId="77777777" w:rsidR="002B47C4" w:rsidRPr="008370EB" w:rsidRDefault="002B47C4" w:rsidP="002B47C4">
            <w:pPr>
              <w:jc w:val="center"/>
            </w:pPr>
            <w:r w:rsidRPr="008370EB">
              <w:t>6</w:t>
            </w:r>
          </w:p>
        </w:tc>
        <w:tc>
          <w:tcPr>
            <w:tcW w:w="1203" w:type="dxa"/>
            <w:noWrap/>
            <w:hideMark/>
          </w:tcPr>
          <w:p w14:paraId="1334993E" w14:textId="77777777" w:rsidR="002B47C4" w:rsidRPr="008370EB" w:rsidRDefault="002B47C4" w:rsidP="002B47C4">
            <w:pPr>
              <w:jc w:val="center"/>
            </w:pPr>
            <w:r w:rsidRPr="008370EB">
              <w:t>1</w:t>
            </w:r>
          </w:p>
        </w:tc>
        <w:tc>
          <w:tcPr>
            <w:tcW w:w="0" w:type="auto"/>
          </w:tcPr>
          <w:p w14:paraId="63E79E03" w14:textId="77777777" w:rsidR="002B47C4" w:rsidRPr="008370EB" w:rsidRDefault="002B47C4" w:rsidP="002B47C4">
            <w:pPr>
              <w:spacing w:line="259" w:lineRule="auto"/>
              <w:jc w:val="center"/>
              <w:rPr>
                <w:rFonts w:ascii="Aptos Narrow" w:hAnsi="Aptos Narrow"/>
                <w:color w:val="000000"/>
              </w:rPr>
            </w:pPr>
          </w:p>
        </w:tc>
        <w:tc>
          <w:tcPr>
            <w:tcW w:w="887" w:type="dxa"/>
            <w:vAlign w:val="bottom"/>
          </w:tcPr>
          <w:p w14:paraId="47A5C5A9" w14:textId="77777777" w:rsidR="002B47C4" w:rsidRPr="008370EB" w:rsidRDefault="002B47C4" w:rsidP="002B47C4">
            <w:pPr>
              <w:spacing w:line="259" w:lineRule="auto"/>
              <w:jc w:val="center"/>
            </w:pPr>
            <w:r w:rsidRPr="008370EB">
              <w:rPr>
                <w:rFonts w:ascii="Aptos Narrow" w:hAnsi="Aptos Narrow"/>
                <w:color w:val="000000"/>
              </w:rPr>
              <w:t>288</w:t>
            </w:r>
          </w:p>
        </w:tc>
      </w:tr>
      <w:tr w:rsidR="002B47C4" w:rsidRPr="008370EB" w14:paraId="0E823AF1" w14:textId="77777777" w:rsidTr="002B47C4">
        <w:trPr>
          <w:trHeight w:val="184"/>
        </w:trPr>
        <w:tc>
          <w:tcPr>
            <w:tcW w:w="2131" w:type="dxa"/>
            <w:noWrap/>
            <w:hideMark/>
          </w:tcPr>
          <w:p w14:paraId="425D2868" w14:textId="77777777" w:rsidR="002B47C4" w:rsidRPr="008370EB" w:rsidRDefault="002B47C4" w:rsidP="002B47C4">
            <w:r w:rsidRPr="008370EB">
              <w:t> </w:t>
            </w:r>
          </w:p>
        </w:tc>
        <w:tc>
          <w:tcPr>
            <w:tcW w:w="795" w:type="dxa"/>
            <w:noWrap/>
            <w:hideMark/>
          </w:tcPr>
          <w:p w14:paraId="0AE3FCF2" w14:textId="77777777" w:rsidR="002B47C4" w:rsidRPr="008370EB" w:rsidRDefault="002B47C4" w:rsidP="002B47C4">
            <w:pPr>
              <w:jc w:val="center"/>
            </w:pPr>
          </w:p>
        </w:tc>
        <w:tc>
          <w:tcPr>
            <w:tcW w:w="842" w:type="dxa"/>
            <w:noWrap/>
            <w:hideMark/>
          </w:tcPr>
          <w:p w14:paraId="676B7740" w14:textId="77777777" w:rsidR="002B47C4" w:rsidRPr="008370EB" w:rsidRDefault="002B47C4" w:rsidP="002B47C4">
            <w:pPr>
              <w:jc w:val="center"/>
            </w:pPr>
          </w:p>
        </w:tc>
        <w:tc>
          <w:tcPr>
            <w:tcW w:w="842" w:type="dxa"/>
            <w:noWrap/>
            <w:hideMark/>
          </w:tcPr>
          <w:p w14:paraId="20CAB9F4" w14:textId="77777777" w:rsidR="002B47C4" w:rsidRPr="008370EB" w:rsidRDefault="002B47C4" w:rsidP="002B47C4">
            <w:pPr>
              <w:jc w:val="center"/>
            </w:pPr>
          </w:p>
        </w:tc>
        <w:tc>
          <w:tcPr>
            <w:tcW w:w="842" w:type="dxa"/>
            <w:noWrap/>
            <w:hideMark/>
          </w:tcPr>
          <w:p w14:paraId="1C4C881B" w14:textId="77777777" w:rsidR="002B47C4" w:rsidRPr="008370EB" w:rsidRDefault="002B47C4" w:rsidP="002B47C4">
            <w:pPr>
              <w:jc w:val="center"/>
            </w:pPr>
          </w:p>
        </w:tc>
        <w:tc>
          <w:tcPr>
            <w:tcW w:w="842" w:type="dxa"/>
            <w:noWrap/>
            <w:hideMark/>
          </w:tcPr>
          <w:p w14:paraId="3F0E2BB5" w14:textId="77777777" w:rsidR="002B47C4" w:rsidRPr="008370EB" w:rsidRDefault="002B47C4" w:rsidP="002B47C4">
            <w:pPr>
              <w:jc w:val="center"/>
            </w:pPr>
          </w:p>
        </w:tc>
        <w:tc>
          <w:tcPr>
            <w:tcW w:w="842" w:type="dxa"/>
            <w:noWrap/>
            <w:hideMark/>
          </w:tcPr>
          <w:p w14:paraId="1DAF8590" w14:textId="77777777" w:rsidR="002B47C4" w:rsidRPr="008370EB" w:rsidRDefault="002B47C4" w:rsidP="002B47C4">
            <w:pPr>
              <w:jc w:val="center"/>
            </w:pPr>
          </w:p>
        </w:tc>
        <w:tc>
          <w:tcPr>
            <w:tcW w:w="1203" w:type="dxa"/>
            <w:noWrap/>
            <w:hideMark/>
          </w:tcPr>
          <w:p w14:paraId="71A3B1BD" w14:textId="77777777" w:rsidR="002B47C4" w:rsidRPr="008370EB" w:rsidRDefault="002B47C4" w:rsidP="002B47C4">
            <w:pPr>
              <w:jc w:val="center"/>
            </w:pPr>
          </w:p>
        </w:tc>
        <w:tc>
          <w:tcPr>
            <w:tcW w:w="0" w:type="auto"/>
          </w:tcPr>
          <w:p w14:paraId="2FE683FE" w14:textId="77777777" w:rsidR="002B47C4" w:rsidRPr="008370EB" w:rsidRDefault="002B47C4" w:rsidP="002B47C4">
            <w:pPr>
              <w:spacing w:line="259" w:lineRule="auto"/>
              <w:jc w:val="center"/>
            </w:pPr>
          </w:p>
        </w:tc>
        <w:tc>
          <w:tcPr>
            <w:tcW w:w="887" w:type="dxa"/>
            <w:vAlign w:val="bottom"/>
          </w:tcPr>
          <w:p w14:paraId="39626324" w14:textId="77777777" w:rsidR="002B47C4" w:rsidRPr="008370EB" w:rsidRDefault="002B47C4" w:rsidP="002B47C4">
            <w:pPr>
              <w:spacing w:line="259" w:lineRule="auto"/>
              <w:jc w:val="center"/>
            </w:pPr>
          </w:p>
        </w:tc>
      </w:tr>
      <w:tr w:rsidR="002B47C4" w:rsidRPr="008370EB" w14:paraId="68E11B39" w14:textId="77777777" w:rsidTr="002B47C4">
        <w:trPr>
          <w:trHeight w:val="184"/>
        </w:trPr>
        <w:tc>
          <w:tcPr>
            <w:tcW w:w="2131" w:type="dxa"/>
            <w:noWrap/>
            <w:hideMark/>
          </w:tcPr>
          <w:p w14:paraId="351BE161" w14:textId="77777777" w:rsidR="002B47C4" w:rsidRPr="008370EB" w:rsidRDefault="002B47C4" w:rsidP="002B47C4">
            <w:r w:rsidRPr="008370EB">
              <w:t>Permits-new apps</w:t>
            </w:r>
          </w:p>
        </w:tc>
        <w:tc>
          <w:tcPr>
            <w:tcW w:w="795" w:type="dxa"/>
            <w:noWrap/>
            <w:hideMark/>
          </w:tcPr>
          <w:p w14:paraId="09A21810" w14:textId="77777777" w:rsidR="002B47C4" w:rsidRPr="008370EB" w:rsidRDefault="002B47C4" w:rsidP="002B47C4">
            <w:pPr>
              <w:jc w:val="center"/>
            </w:pPr>
            <w:r w:rsidRPr="008370EB">
              <w:t>22</w:t>
            </w:r>
          </w:p>
        </w:tc>
        <w:tc>
          <w:tcPr>
            <w:tcW w:w="842" w:type="dxa"/>
            <w:noWrap/>
            <w:hideMark/>
          </w:tcPr>
          <w:p w14:paraId="2A81DEC7" w14:textId="77777777" w:rsidR="002B47C4" w:rsidRPr="008370EB" w:rsidRDefault="002B47C4" w:rsidP="002B47C4">
            <w:pPr>
              <w:jc w:val="center"/>
            </w:pPr>
            <w:r w:rsidRPr="008370EB">
              <w:t>27</w:t>
            </w:r>
          </w:p>
        </w:tc>
        <w:tc>
          <w:tcPr>
            <w:tcW w:w="842" w:type="dxa"/>
            <w:noWrap/>
            <w:hideMark/>
          </w:tcPr>
          <w:p w14:paraId="534C3E46" w14:textId="77777777" w:rsidR="002B47C4" w:rsidRPr="008370EB" w:rsidRDefault="002B47C4" w:rsidP="002B47C4">
            <w:pPr>
              <w:jc w:val="center"/>
            </w:pPr>
            <w:r w:rsidRPr="008370EB">
              <w:t>23</w:t>
            </w:r>
          </w:p>
        </w:tc>
        <w:tc>
          <w:tcPr>
            <w:tcW w:w="842" w:type="dxa"/>
            <w:noWrap/>
            <w:hideMark/>
          </w:tcPr>
          <w:p w14:paraId="2EFDF64C" w14:textId="77777777" w:rsidR="002B47C4" w:rsidRPr="008370EB" w:rsidRDefault="002B47C4" w:rsidP="002B47C4">
            <w:pPr>
              <w:jc w:val="center"/>
            </w:pPr>
            <w:r w:rsidRPr="008370EB">
              <w:t>47</w:t>
            </w:r>
          </w:p>
        </w:tc>
        <w:tc>
          <w:tcPr>
            <w:tcW w:w="842" w:type="dxa"/>
            <w:noWrap/>
            <w:hideMark/>
          </w:tcPr>
          <w:p w14:paraId="5FDE868B" w14:textId="77777777" w:rsidR="002B47C4" w:rsidRPr="008370EB" w:rsidRDefault="002B47C4" w:rsidP="002B47C4">
            <w:pPr>
              <w:jc w:val="center"/>
            </w:pPr>
            <w:r w:rsidRPr="008370EB">
              <w:t>8</w:t>
            </w:r>
          </w:p>
        </w:tc>
        <w:tc>
          <w:tcPr>
            <w:tcW w:w="842" w:type="dxa"/>
            <w:noWrap/>
            <w:hideMark/>
          </w:tcPr>
          <w:p w14:paraId="76DC6087" w14:textId="77777777" w:rsidR="002B47C4" w:rsidRPr="008370EB" w:rsidRDefault="002B47C4" w:rsidP="002B47C4">
            <w:pPr>
              <w:jc w:val="center"/>
            </w:pPr>
            <w:r w:rsidRPr="008370EB">
              <w:t>19</w:t>
            </w:r>
          </w:p>
        </w:tc>
        <w:tc>
          <w:tcPr>
            <w:tcW w:w="1203" w:type="dxa"/>
            <w:noWrap/>
            <w:hideMark/>
          </w:tcPr>
          <w:p w14:paraId="7F7019AB" w14:textId="77777777" w:rsidR="002B47C4" w:rsidRPr="008370EB" w:rsidRDefault="002B47C4" w:rsidP="002B47C4">
            <w:pPr>
              <w:jc w:val="center"/>
            </w:pPr>
            <w:r w:rsidRPr="008370EB">
              <w:t>11</w:t>
            </w:r>
          </w:p>
        </w:tc>
        <w:tc>
          <w:tcPr>
            <w:tcW w:w="0" w:type="auto"/>
          </w:tcPr>
          <w:p w14:paraId="0A95B46E" w14:textId="77777777" w:rsidR="002B47C4" w:rsidRPr="008370EB" w:rsidRDefault="002B47C4" w:rsidP="002B47C4">
            <w:pPr>
              <w:spacing w:line="259" w:lineRule="auto"/>
              <w:jc w:val="center"/>
              <w:rPr>
                <w:rFonts w:ascii="Aptos Narrow" w:hAnsi="Aptos Narrow"/>
                <w:color w:val="000000"/>
              </w:rPr>
            </w:pPr>
          </w:p>
        </w:tc>
        <w:tc>
          <w:tcPr>
            <w:tcW w:w="887" w:type="dxa"/>
            <w:vAlign w:val="bottom"/>
          </w:tcPr>
          <w:p w14:paraId="2C378474" w14:textId="77777777" w:rsidR="002B47C4" w:rsidRPr="008370EB" w:rsidRDefault="002B47C4" w:rsidP="002B47C4">
            <w:pPr>
              <w:spacing w:line="259" w:lineRule="auto"/>
              <w:jc w:val="center"/>
            </w:pPr>
            <w:r w:rsidRPr="008370EB">
              <w:rPr>
                <w:rFonts w:ascii="Aptos Narrow" w:hAnsi="Aptos Narrow"/>
                <w:color w:val="000000"/>
              </w:rPr>
              <w:t>501</w:t>
            </w:r>
          </w:p>
        </w:tc>
      </w:tr>
      <w:tr w:rsidR="002B47C4" w:rsidRPr="008370EB" w14:paraId="2E5E76BF" w14:textId="77777777" w:rsidTr="002B47C4">
        <w:trPr>
          <w:trHeight w:val="184"/>
        </w:trPr>
        <w:tc>
          <w:tcPr>
            <w:tcW w:w="2131" w:type="dxa"/>
            <w:noWrap/>
            <w:hideMark/>
          </w:tcPr>
          <w:p w14:paraId="1EDE45AE" w14:textId="77777777" w:rsidR="002B47C4" w:rsidRPr="008370EB" w:rsidRDefault="002B47C4" w:rsidP="002B47C4">
            <w:r w:rsidRPr="008370EB">
              <w:t>Install</w:t>
            </w:r>
          </w:p>
        </w:tc>
        <w:tc>
          <w:tcPr>
            <w:tcW w:w="795" w:type="dxa"/>
            <w:noWrap/>
            <w:hideMark/>
          </w:tcPr>
          <w:p w14:paraId="5023F43C" w14:textId="77777777" w:rsidR="002B47C4" w:rsidRPr="008370EB" w:rsidRDefault="002B47C4" w:rsidP="002B47C4">
            <w:pPr>
              <w:jc w:val="center"/>
            </w:pPr>
            <w:r w:rsidRPr="008370EB">
              <w:t>13</w:t>
            </w:r>
          </w:p>
        </w:tc>
        <w:tc>
          <w:tcPr>
            <w:tcW w:w="842" w:type="dxa"/>
            <w:noWrap/>
            <w:hideMark/>
          </w:tcPr>
          <w:p w14:paraId="0E5D7B57" w14:textId="77777777" w:rsidR="002B47C4" w:rsidRPr="008370EB" w:rsidRDefault="002B47C4" w:rsidP="002B47C4">
            <w:pPr>
              <w:jc w:val="center"/>
            </w:pPr>
            <w:r w:rsidRPr="008370EB">
              <w:t>21</w:t>
            </w:r>
          </w:p>
        </w:tc>
        <w:tc>
          <w:tcPr>
            <w:tcW w:w="842" w:type="dxa"/>
            <w:noWrap/>
            <w:hideMark/>
          </w:tcPr>
          <w:p w14:paraId="33516E68" w14:textId="77777777" w:rsidR="002B47C4" w:rsidRPr="008370EB" w:rsidRDefault="002B47C4" w:rsidP="002B47C4">
            <w:pPr>
              <w:jc w:val="center"/>
            </w:pPr>
            <w:r w:rsidRPr="008370EB">
              <w:t>15</w:t>
            </w:r>
          </w:p>
        </w:tc>
        <w:tc>
          <w:tcPr>
            <w:tcW w:w="842" w:type="dxa"/>
            <w:noWrap/>
            <w:hideMark/>
          </w:tcPr>
          <w:p w14:paraId="56054F4A" w14:textId="77777777" w:rsidR="002B47C4" w:rsidRPr="008370EB" w:rsidRDefault="002B47C4" w:rsidP="002B47C4">
            <w:pPr>
              <w:jc w:val="center"/>
            </w:pPr>
            <w:r w:rsidRPr="008370EB">
              <w:t>28</w:t>
            </w:r>
          </w:p>
        </w:tc>
        <w:tc>
          <w:tcPr>
            <w:tcW w:w="842" w:type="dxa"/>
            <w:noWrap/>
            <w:hideMark/>
          </w:tcPr>
          <w:p w14:paraId="24BFBCFA" w14:textId="77777777" w:rsidR="002B47C4" w:rsidRPr="008370EB" w:rsidRDefault="002B47C4" w:rsidP="002B47C4">
            <w:pPr>
              <w:jc w:val="center"/>
            </w:pPr>
            <w:r w:rsidRPr="008370EB">
              <w:t>0</w:t>
            </w:r>
          </w:p>
        </w:tc>
        <w:tc>
          <w:tcPr>
            <w:tcW w:w="842" w:type="dxa"/>
            <w:noWrap/>
            <w:hideMark/>
          </w:tcPr>
          <w:p w14:paraId="6AC1764B" w14:textId="77777777" w:rsidR="002B47C4" w:rsidRPr="008370EB" w:rsidRDefault="002B47C4" w:rsidP="002B47C4">
            <w:pPr>
              <w:jc w:val="center"/>
            </w:pPr>
            <w:r w:rsidRPr="008370EB">
              <w:t>0</w:t>
            </w:r>
          </w:p>
        </w:tc>
        <w:tc>
          <w:tcPr>
            <w:tcW w:w="1203" w:type="dxa"/>
            <w:noWrap/>
            <w:hideMark/>
          </w:tcPr>
          <w:p w14:paraId="1AE41349" w14:textId="77777777" w:rsidR="002B47C4" w:rsidRPr="008370EB" w:rsidRDefault="002B47C4" w:rsidP="002B47C4">
            <w:pPr>
              <w:jc w:val="center"/>
            </w:pPr>
            <w:r w:rsidRPr="008370EB">
              <w:t>0</w:t>
            </w:r>
          </w:p>
        </w:tc>
        <w:tc>
          <w:tcPr>
            <w:tcW w:w="0" w:type="auto"/>
          </w:tcPr>
          <w:p w14:paraId="3AC48A8C" w14:textId="77777777" w:rsidR="002B47C4" w:rsidRPr="008370EB" w:rsidRDefault="002B47C4" w:rsidP="002B47C4">
            <w:pPr>
              <w:spacing w:line="259" w:lineRule="auto"/>
              <w:jc w:val="center"/>
            </w:pPr>
          </w:p>
        </w:tc>
        <w:tc>
          <w:tcPr>
            <w:tcW w:w="887" w:type="dxa"/>
            <w:vAlign w:val="bottom"/>
          </w:tcPr>
          <w:p w14:paraId="2103EB16" w14:textId="77777777" w:rsidR="002B47C4" w:rsidRPr="008370EB" w:rsidRDefault="002B47C4" w:rsidP="002B47C4">
            <w:pPr>
              <w:spacing w:line="259" w:lineRule="auto"/>
              <w:jc w:val="center"/>
            </w:pPr>
          </w:p>
        </w:tc>
      </w:tr>
      <w:tr w:rsidR="002B47C4" w:rsidRPr="008370EB" w14:paraId="6E72B349" w14:textId="77777777" w:rsidTr="002B47C4">
        <w:trPr>
          <w:trHeight w:val="184"/>
        </w:trPr>
        <w:tc>
          <w:tcPr>
            <w:tcW w:w="2131" w:type="dxa"/>
            <w:noWrap/>
            <w:hideMark/>
          </w:tcPr>
          <w:p w14:paraId="78FE495C" w14:textId="77777777" w:rsidR="002B47C4" w:rsidRPr="008370EB" w:rsidRDefault="002B47C4" w:rsidP="002B47C4">
            <w:r w:rsidRPr="008370EB">
              <w:t>Alter</w:t>
            </w:r>
          </w:p>
        </w:tc>
        <w:tc>
          <w:tcPr>
            <w:tcW w:w="795" w:type="dxa"/>
            <w:noWrap/>
            <w:hideMark/>
          </w:tcPr>
          <w:p w14:paraId="4E5155AB" w14:textId="77777777" w:rsidR="002B47C4" w:rsidRPr="008370EB" w:rsidRDefault="002B47C4" w:rsidP="002B47C4">
            <w:pPr>
              <w:jc w:val="center"/>
            </w:pPr>
            <w:r w:rsidRPr="008370EB">
              <w:t>9</w:t>
            </w:r>
          </w:p>
        </w:tc>
        <w:tc>
          <w:tcPr>
            <w:tcW w:w="842" w:type="dxa"/>
            <w:noWrap/>
            <w:hideMark/>
          </w:tcPr>
          <w:p w14:paraId="215055B8" w14:textId="77777777" w:rsidR="002B47C4" w:rsidRPr="008370EB" w:rsidRDefault="002B47C4" w:rsidP="002B47C4">
            <w:pPr>
              <w:jc w:val="center"/>
            </w:pPr>
            <w:r w:rsidRPr="008370EB">
              <w:t>6</w:t>
            </w:r>
          </w:p>
        </w:tc>
        <w:tc>
          <w:tcPr>
            <w:tcW w:w="842" w:type="dxa"/>
            <w:noWrap/>
            <w:hideMark/>
          </w:tcPr>
          <w:p w14:paraId="21F52A18" w14:textId="77777777" w:rsidR="002B47C4" w:rsidRPr="008370EB" w:rsidRDefault="002B47C4" w:rsidP="002B47C4">
            <w:pPr>
              <w:jc w:val="center"/>
            </w:pPr>
            <w:r w:rsidRPr="008370EB">
              <w:t>8</w:t>
            </w:r>
          </w:p>
        </w:tc>
        <w:tc>
          <w:tcPr>
            <w:tcW w:w="842" w:type="dxa"/>
            <w:noWrap/>
            <w:hideMark/>
          </w:tcPr>
          <w:p w14:paraId="555CA1AD" w14:textId="77777777" w:rsidR="002B47C4" w:rsidRPr="008370EB" w:rsidRDefault="002B47C4" w:rsidP="002B47C4">
            <w:pPr>
              <w:jc w:val="center"/>
            </w:pPr>
            <w:r w:rsidRPr="008370EB">
              <w:t>19</w:t>
            </w:r>
          </w:p>
        </w:tc>
        <w:tc>
          <w:tcPr>
            <w:tcW w:w="842" w:type="dxa"/>
            <w:noWrap/>
            <w:hideMark/>
          </w:tcPr>
          <w:p w14:paraId="5DB34436" w14:textId="77777777" w:rsidR="002B47C4" w:rsidRPr="008370EB" w:rsidRDefault="002B47C4" w:rsidP="002B47C4">
            <w:pPr>
              <w:jc w:val="center"/>
            </w:pPr>
            <w:r w:rsidRPr="008370EB">
              <w:t>8</w:t>
            </w:r>
          </w:p>
        </w:tc>
        <w:tc>
          <w:tcPr>
            <w:tcW w:w="842" w:type="dxa"/>
            <w:noWrap/>
            <w:hideMark/>
          </w:tcPr>
          <w:p w14:paraId="414CA7B4" w14:textId="77777777" w:rsidR="002B47C4" w:rsidRPr="008370EB" w:rsidRDefault="002B47C4" w:rsidP="002B47C4">
            <w:pPr>
              <w:jc w:val="center"/>
            </w:pPr>
            <w:r w:rsidRPr="008370EB">
              <w:t>19</w:t>
            </w:r>
          </w:p>
        </w:tc>
        <w:tc>
          <w:tcPr>
            <w:tcW w:w="1203" w:type="dxa"/>
            <w:noWrap/>
            <w:hideMark/>
          </w:tcPr>
          <w:p w14:paraId="34CA874C" w14:textId="77777777" w:rsidR="002B47C4" w:rsidRPr="008370EB" w:rsidRDefault="002B47C4" w:rsidP="002B47C4">
            <w:pPr>
              <w:jc w:val="center"/>
            </w:pPr>
            <w:r w:rsidRPr="008370EB">
              <w:t>11</w:t>
            </w:r>
          </w:p>
        </w:tc>
        <w:tc>
          <w:tcPr>
            <w:tcW w:w="0" w:type="auto"/>
          </w:tcPr>
          <w:p w14:paraId="58B53F75" w14:textId="77777777" w:rsidR="002B47C4" w:rsidRPr="008370EB" w:rsidRDefault="002B47C4" w:rsidP="002B47C4">
            <w:pPr>
              <w:spacing w:line="259" w:lineRule="auto"/>
              <w:jc w:val="center"/>
            </w:pPr>
          </w:p>
        </w:tc>
        <w:tc>
          <w:tcPr>
            <w:tcW w:w="887" w:type="dxa"/>
            <w:vAlign w:val="bottom"/>
          </w:tcPr>
          <w:p w14:paraId="3C5044F8" w14:textId="77777777" w:rsidR="002B47C4" w:rsidRPr="008370EB" w:rsidRDefault="002B47C4" w:rsidP="002B47C4">
            <w:pPr>
              <w:spacing w:line="259" w:lineRule="auto"/>
              <w:jc w:val="center"/>
            </w:pPr>
          </w:p>
        </w:tc>
      </w:tr>
      <w:tr w:rsidR="002B47C4" w:rsidRPr="008370EB" w14:paraId="04DB5E13" w14:textId="77777777" w:rsidTr="002B47C4">
        <w:trPr>
          <w:trHeight w:val="184"/>
        </w:trPr>
        <w:tc>
          <w:tcPr>
            <w:tcW w:w="2131" w:type="dxa"/>
            <w:noWrap/>
            <w:hideMark/>
          </w:tcPr>
          <w:p w14:paraId="4154E584" w14:textId="77777777" w:rsidR="002B47C4" w:rsidRPr="008370EB" w:rsidRDefault="002B47C4" w:rsidP="002B47C4">
            <w:r w:rsidRPr="008370EB">
              <w:t> </w:t>
            </w:r>
          </w:p>
        </w:tc>
        <w:tc>
          <w:tcPr>
            <w:tcW w:w="795" w:type="dxa"/>
            <w:noWrap/>
            <w:hideMark/>
          </w:tcPr>
          <w:p w14:paraId="70F5C54D" w14:textId="77777777" w:rsidR="002B47C4" w:rsidRPr="008370EB" w:rsidRDefault="002B47C4" w:rsidP="002B47C4">
            <w:pPr>
              <w:jc w:val="center"/>
            </w:pPr>
          </w:p>
        </w:tc>
        <w:tc>
          <w:tcPr>
            <w:tcW w:w="842" w:type="dxa"/>
            <w:noWrap/>
            <w:hideMark/>
          </w:tcPr>
          <w:p w14:paraId="1F9F1EB3" w14:textId="77777777" w:rsidR="002B47C4" w:rsidRPr="008370EB" w:rsidRDefault="002B47C4" w:rsidP="002B47C4">
            <w:pPr>
              <w:jc w:val="center"/>
            </w:pPr>
          </w:p>
        </w:tc>
        <w:tc>
          <w:tcPr>
            <w:tcW w:w="842" w:type="dxa"/>
            <w:noWrap/>
            <w:hideMark/>
          </w:tcPr>
          <w:p w14:paraId="36697918" w14:textId="77777777" w:rsidR="002B47C4" w:rsidRPr="008370EB" w:rsidRDefault="002B47C4" w:rsidP="002B47C4">
            <w:pPr>
              <w:jc w:val="center"/>
            </w:pPr>
          </w:p>
        </w:tc>
        <w:tc>
          <w:tcPr>
            <w:tcW w:w="842" w:type="dxa"/>
            <w:noWrap/>
            <w:hideMark/>
          </w:tcPr>
          <w:p w14:paraId="07574CD0" w14:textId="77777777" w:rsidR="002B47C4" w:rsidRPr="008370EB" w:rsidRDefault="002B47C4" w:rsidP="002B47C4">
            <w:pPr>
              <w:jc w:val="center"/>
            </w:pPr>
          </w:p>
        </w:tc>
        <w:tc>
          <w:tcPr>
            <w:tcW w:w="842" w:type="dxa"/>
            <w:noWrap/>
            <w:hideMark/>
          </w:tcPr>
          <w:p w14:paraId="3B2A78CA" w14:textId="77777777" w:rsidR="002B47C4" w:rsidRPr="008370EB" w:rsidRDefault="002B47C4" w:rsidP="002B47C4">
            <w:pPr>
              <w:jc w:val="center"/>
            </w:pPr>
          </w:p>
        </w:tc>
        <w:tc>
          <w:tcPr>
            <w:tcW w:w="842" w:type="dxa"/>
            <w:noWrap/>
            <w:hideMark/>
          </w:tcPr>
          <w:p w14:paraId="6768C42F" w14:textId="77777777" w:rsidR="002B47C4" w:rsidRPr="008370EB" w:rsidRDefault="002B47C4" w:rsidP="002B47C4">
            <w:pPr>
              <w:jc w:val="center"/>
            </w:pPr>
          </w:p>
        </w:tc>
        <w:tc>
          <w:tcPr>
            <w:tcW w:w="1203" w:type="dxa"/>
            <w:noWrap/>
            <w:hideMark/>
          </w:tcPr>
          <w:p w14:paraId="393B2102" w14:textId="77777777" w:rsidR="002B47C4" w:rsidRPr="008370EB" w:rsidRDefault="002B47C4" w:rsidP="002B47C4">
            <w:pPr>
              <w:jc w:val="center"/>
            </w:pPr>
          </w:p>
        </w:tc>
        <w:tc>
          <w:tcPr>
            <w:tcW w:w="0" w:type="auto"/>
          </w:tcPr>
          <w:p w14:paraId="2C6E0CB7" w14:textId="77777777" w:rsidR="002B47C4" w:rsidRPr="008370EB" w:rsidRDefault="002B47C4" w:rsidP="002B47C4">
            <w:pPr>
              <w:spacing w:line="259" w:lineRule="auto"/>
              <w:jc w:val="center"/>
            </w:pPr>
          </w:p>
        </w:tc>
        <w:tc>
          <w:tcPr>
            <w:tcW w:w="887" w:type="dxa"/>
            <w:vAlign w:val="bottom"/>
          </w:tcPr>
          <w:p w14:paraId="14EA8ACC" w14:textId="77777777" w:rsidR="002B47C4" w:rsidRPr="008370EB" w:rsidRDefault="002B47C4" w:rsidP="002B47C4">
            <w:pPr>
              <w:spacing w:line="259" w:lineRule="auto"/>
              <w:jc w:val="center"/>
            </w:pPr>
          </w:p>
        </w:tc>
      </w:tr>
      <w:tr w:rsidR="002B47C4" w:rsidRPr="008370EB" w14:paraId="563799B5" w14:textId="77777777" w:rsidTr="002B47C4">
        <w:trPr>
          <w:trHeight w:val="377"/>
        </w:trPr>
        <w:tc>
          <w:tcPr>
            <w:tcW w:w="2131" w:type="dxa"/>
            <w:noWrap/>
            <w:hideMark/>
          </w:tcPr>
          <w:p w14:paraId="6EB4A796" w14:textId="77777777" w:rsidR="002B47C4" w:rsidRPr="008370EB" w:rsidRDefault="002B47C4" w:rsidP="002B47C4"/>
          <w:p w14:paraId="238E1789" w14:textId="77777777" w:rsidR="002B47C4" w:rsidRPr="008370EB" w:rsidRDefault="002B47C4" w:rsidP="002B47C4">
            <w:r w:rsidRPr="008370EB">
              <w:t xml:space="preserve">Registered elevators </w:t>
            </w:r>
          </w:p>
        </w:tc>
        <w:tc>
          <w:tcPr>
            <w:tcW w:w="795" w:type="dxa"/>
            <w:noWrap/>
            <w:hideMark/>
          </w:tcPr>
          <w:p w14:paraId="1D29A7EE" w14:textId="77777777" w:rsidR="002B47C4" w:rsidRPr="008370EB" w:rsidRDefault="002B47C4" w:rsidP="002B47C4">
            <w:pPr>
              <w:jc w:val="center"/>
            </w:pPr>
            <w:r w:rsidRPr="008370EB">
              <w:t xml:space="preserve">  4,453</w:t>
            </w:r>
          </w:p>
        </w:tc>
        <w:tc>
          <w:tcPr>
            <w:tcW w:w="842" w:type="dxa"/>
            <w:noWrap/>
            <w:hideMark/>
          </w:tcPr>
          <w:p w14:paraId="621C2209" w14:textId="77777777" w:rsidR="002B47C4" w:rsidRPr="008370EB" w:rsidRDefault="002B47C4" w:rsidP="002B47C4">
            <w:r w:rsidRPr="008370EB">
              <w:t xml:space="preserve">      4,896</w:t>
            </w:r>
          </w:p>
        </w:tc>
        <w:tc>
          <w:tcPr>
            <w:tcW w:w="842" w:type="dxa"/>
            <w:noWrap/>
            <w:hideMark/>
          </w:tcPr>
          <w:p w14:paraId="6C52A588" w14:textId="77777777" w:rsidR="002B47C4" w:rsidRPr="008370EB" w:rsidRDefault="002B47C4" w:rsidP="002B47C4">
            <w:pPr>
              <w:jc w:val="center"/>
            </w:pPr>
            <w:r w:rsidRPr="008370EB">
              <w:t xml:space="preserve">      5,321</w:t>
            </w:r>
          </w:p>
        </w:tc>
        <w:tc>
          <w:tcPr>
            <w:tcW w:w="842" w:type="dxa"/>
            <w:noWrap/>
            <w:hideMark/>
          </w:tcPr>
          <w:p w14:paraId="39A552AF" w14:textId="77777777" w:rsidR="002B47C4" w:rsidRPr="008370EB" w:rsidRDefault="002B47C4" w:rsidP="002B47C4">
            <w:pPr>
              <w:jc w:val="center"/>
            </w:pPr>
            <w:r w:rsidRPr="008370EB">
              <w:t xml:space="preserve">      5,521</w:t>
            </w:r>
          </w:p>
        </w:tc>
        <w:tc>
          <w:tcPr>
            <w:tcW w:w="842" w:type="dxa"/>
            <w:noWrap/>
            <w:hideMark/>
          </w:tcPr>
          <w:p w14:paraId="1661DC38" w14:textId="77777777" w:rsidR="002B47C4" w:rsidRPr="008370EB" w:rsidRDefault="002B47C4" w:rsidP="002B47C4">
            <w:pPr>
              <w:jc w:val="center"/>
            </w:pPr>
            <w:r w:rsidRPr="008370EB">
              <w:t xml:space="preserve">      5,749</w:t>
            </w:r>
          </w:p>
        </w:tc>
        <w:tc>
          <w:tcPr>
            <w:tcW w:w="842" w:type="dxa"/>
            <w:noWrap/>
            <w:hideMark/>
          </w:tcPr>
          <w:p w14:paraId="4349FF40" w14:textId="77777777" w:rsidR="002B47C4" w:rsidRPr="008370EB" w:rsidRDefault="002B47C4" w:rsidP="002B47C4">
            <w:pPr>
              <w:jc w:val="center"/>
            </w:pPr>
            <w:r w:rsidRPr="008370EB">
              <w:t xml:space="preserve">      5,854</w:t>
            </w:r>
          </w:p>
        </w:tc>
        <w:tc>
          <w:tcPr>
            <w:tcW w:w="1203" w:type="dxa"/>
            <w:noWrap/>
            <w:hideMark/>
          </w:tcPr>
          <w:p w14:paraId="08D208DA" w14:textId="77777777" w:rsidR="002B47C4" w:rsidRPr="008370EB" w:rsidRDefault="002B47C4" w:rsidP="002B47C4">
            <w:pPr>
              <w:jc w:val="center"/>
            </w:pPr>
            <w:r w:rsidRPr="008370EB">
              <w:t xml:space="preserve">           5,980</w:t>
            </w:r>
          </w:p>
        </w:tc>
        <w:tc>
          <w:tcPr>
            <w:tcW w:w="0" w:type="auto"/>
          </w:tcPr>
          <w:p w14:paraId="7CAA5B6C" w14:textId="77777777" w:rsidR="002B47C4" w:rsidRPr="008370EB" w:rsidRDefault="002B47C4" w:rsidP="002B47C4">
            <w:pPr>
              <w:jc w:val="center"/>
            </w:pPr>
          </w:p>
        </w:tc>
        <w:tc>
          <w:tcPr>
            <w:tcW w:w="887" w:type="dxa"/>
            <w:vAlign w:val="bottom"/>
          </w:tcPr>
          <w:p w14:paraId="2E824256" w14:textId="77777777" w:rsidR="002B47C4" w:rsidRPr="008370EB" w:rsidRDefault="002B47C4" w:rsidP="002B47C4">
            <w:pPr>
              <w:spacing w:line="259" w:lineRule="auto"/>
            </w:pPr>
            <w:r w:rsidRPr="008370EB">
              <w:t xml:space="preserve">    </w:t>
            </w:r>
          </w:p>
        </w:tc>
      </w:tr>
      <w:tr w:rsidR="002B47C4" w:rsidRPr="008370EB" w14:paraId="08853245" w14:textId="77777777" w:rsidTr="002B47C4">
        <w:trPr>
          <w:trHeight w:val="184"/>
        </w:trPr>
        <w:tc>
          <w:tcPr>
            <w:tcW w:w="2131" w:type="dxa"/>
            <w:noWrap/>
          </w:tcPr>
          <w:p w14:paraId="2E10A4FF" w14:textId="77777777" w:rsidR="002B47C4" w:rsidRPr="008370EB" w:rsidRDefault="002B47C4" w:rsidP="002B47C4"/>
        </w:tc>
        <w:tc>
          <w:tcPr>
            <w:tcW w:w="795" w:type="dxa"/>
            <w:noWrap/>
          </w:tcPr>
          <w:p w14:paraId="4F96A839" w14:textId="77777777" w:rsidR="002B47C4" w:rsidRPr="008370EB" w:rsidRDefault="002B47C4" w:rsidP="002B47C4"/>
        </w:tc>
        <w:tc>
          <w:tcPr>
            <w:tcW w:w="842" w:type="dxa"/>
            <w:noWrap/>
          </w:tcPr>
          <w:p w14:paraId="61C06786" w14:textId="77777777" w:rsidR="002B47C4" w:rsidRPr="008370EB" w:rsidRDefault="002B47C4" w:rsidP="002B47C4"/>
        </w:tc>
        <w:tc>
          <w:tcPr>
            <w:tcW w:w="842" w:type="dxa"/>
            <w:noWrap/>
          </w:tcPr>
          <w:p w14:paraId="2D507133" w14:textId="77777777" w:rsidR="002B47C4" w:rsidRPr="008370EB" w:rsidRDefault="002B47C4" w:rsidP="002B47C4"/>
        </w:tc>
        <w:tc>
          <w:tcPr>
            <w:tcW w:w="842" w:type="dxa"/>
            <w:noWrap/>
          </w:tcPr>
          <w:p w14:paraId="02136C20" w14:textId="77777777" w:rsidR="002B47C4" w:rsidRPr="008370EB" w:rsidRDefault="002B47C4" w:rsidP="002B47C4"/>
        </w:tc>
        <w:tc>
          <w:tcPr>
            <w:tcW w:w="842" w:type="dxa"/>
            <w:noWrap/>
          </w:tcPr>
          <w:p w14:paraId="3E27BCC0" w14:textId="77777777" w:rsidR="002B47C4" w:rsidRPr="008370EB" w:rsidRDefault="002B47C4" w:rsidP="002B47C4"/>
        </w:tc>
        <w:tc>
          <w:tcPr>
            <w:tcW w:w="842" w:type="dxa"/>
            <w:noWrap/>
          </w:tcPr>
          <w:p w14:paraId="1580E347" w14:textId="77777777" w:rsidR="002B47C4" w:rsidRPr="008370EB" w:rsidRDefault="002B47C4" w:rsidP="002B47C4"/>
        </w:tc>
        <w:tc>
          <w:tcPr>
            <w:tcW w:w="1203" w:type="dxa"/>
            <w:noWrap/>
          </w:tcPr>
          <w:p w14:paraId="0C9BD6E4" w14:textId="77777777" w:rsidR="002B47C4" w:rsidRPr="008370EB" w:rsidRDefault="002B47C4" w:rsidP="002B47C4"/>
        </w:tc>
        <w:tc>
          <w:tcPr>
            <w:tcW w:w="0" w:type="auto"/>
          </w:tcPr>
          <w:p w14:paraId="518F8FDD" w14:textId="77777777" w:rsidR="002B47C4" w:rsidRPr="008370EB" w:rsidRDefault="002B47C4" w:rsidP="002B47C4">
            <w:pPr>
              <w:spacing w:line="259" w:lineRule="auto"/>
              <w:rPr>
                <w:rFonts w:ascii="Aptos Narrow" w:hAnsi="Aptos Narrow"/>
                <w:color w:val="000000"/>
              </w:rPr>
            </w:pPr>
          </w:p>
        </w:tc>
        <w:tc>
          <w:tcPr>
            <w:tcW w:w="887" w:type="dxa"/>
            <w:vAlign w:val="bottom"/>
          </w:tcPr>
          <w:p w14:paraId="0B8F037B" w14:textId="77777777" w:rsidR="002B47C4" w:rsidRPr="008370EB" w:rsidRDefault="002B47C4" w:rsidP="002B47C4">
            <w:pPr>
              <w:spacing w:line="259" w:lineRule="auto"/>
            </w:pPr>
            <w:r w:rsidRPr="008370EB">
              <w:rPr>
                <w:rFonts w:ascii="Aptos Narrow" w:hAnsi="Aptos Narrow"/>
                <w:color w:val="000000"/>
              </w:rPr>
              <w:t> </w:t>
            </w:r>
          </w:p>
        </w:tc>
      </w:tr>
      <w:tr w:rsidR="002B47C4" w:rsidRPr="008370EB" w14:paraId="17A63E0A" w14:textId="77777777" w:rsidTr="002B47C4">
        <w:trPr>
          <w:trHeight w:val="184"/>
        </w:trPr>
        <w:tc>
          <w:tcPr>
            <w:tcW w:w="2131" w:type="dxa"/>
            <w:noWrap/>
          </w:tcPr>
          <w:p w14:paraId="78E63776" w14:textId="77777777" w:rsidR="002B47C4" w:rsidRPr="008370EB" w:rsidRDefault="002B47C4" w:rsidP="002B47C4"/>
        </w:tc>
        <w:tc>
          <w:tcPr>
            <w:tcW w:w="795" w:type="dxa"/>
            <w:noWrap/>
          </w:tcPr>
          <w:p w14:paraId="32EAA520" w14:textId="77777777" w:rsidR="002B47C4" w:rsidRPr="008370EB" w:rsidRDefault="002B47C4" w:rsidP="002B47C4"/>
        </w:tc>
        <w:tc>
          <w:tcPr>
            <w:tcW w:w="842" w:type="dxa"/>
            <w:noWrap/>
          </w:tcPr>
          <w:p w14:paraId="6ECD8ED2" w14:textId="77777777" w:rsidR="002B47C4" w:rsidRPr="008370EB" w:rsidRDefault="002B47C4" w:rsidP="002B47C4"/>
        </w:tc>
        <w:tc>
          <w:tcPr>
            <w:tcW w:w="842" w:type="dxa"/>
            <w:noWrap/>
          </w:tcPr>
          <w:p w14:paraId="5EECF218" w14:textId="77777777" w:rsidR="002B47C4" w:rsidRPr="008370EB" w:rsidRDefault="002B47C4" w:rsidP="002B47C4"/>
        </w:tc>
        <w:tc>
          <w:tcPr>
            <w:tcW w:w="842" w:type="dxa"/>
            <w:noWrap/>
          </w:tcPr>
          <w:p w14:paraId="43105A76" w14:textId="77777777" w:rsidR="002B47C4" w:rsidRPr="008370EB" w:rsidRDefault="002B47C4" w:rsidP="002B47C4"/>
        </w:tc>
        <w:tc>
          <w:tcPr>
            <w:tcW w:w="842" w:type="dxa"/>
            <w:noWrap/>
          </w:tcPr>
          <w:p w14:paraId="656B2F3D" w14:textId="77777777" w:rsidR="002B47C4" w:rsidRPr="008370EB" w:rsidRDefault="002B47C4" w:rsidP="002B47C4"/>
        </w:tc>
        <w:tc>
          <w:tcPr>
            <w:tcW w:w="842" w:type="dxa"/>
            <w:noWrap/>
          </w:tcPr>
          <w:p w14:paraId="5C003736" w14:textId="77777777" w:rsidR="002B47C4" w:rsidRPr="008370EB" w:rsidRDefault="002B47C4" w:rsidP="002B47C4"/>
        </w:tc>
        <w:tc>
          <w:tcPr>
            <w:tcW w:w="1203" w:type="dxa"/>
            <w:noWrap/>
          </w:tcPr>
          <w:p w14:paraId="0F52FCB8" w14:textId="77777777" w:rsidR="002B47C4" w:rsidRPr="008370EB" w:rsidRDefault="002B47C4" w:rsidP="002B47C4"/>
        </w:tc>
        <w:tc>
          <w:tcPr>
            <w:tcW w:w="0" w:type="auto"/>
          </w:tcPr>
          <w:p w14:paraId="7DB5DA1C" w14:textId="77777777" w:rsidR="002B47C4" w:rsidRPr="008370EB" w:rsidRDefault="002B47C4" w:rsidP="002B47C4">
            <w:pPr>
              <w:spacing w:line="259" w:lineRule="auto"/>
              <w:rPr>
                <w:rFonts w:ascii="Aptos Narrow" w:hAnsi="Aptos Narrow"/>
                <w:color w:val="000000"/>
              </w:rPr>
            </w:pPr>
          </w:p>
        </w:tc>
        <w:tc>
          <w:tcPr>
            <w:tcW w:w="887" w:type="dxa"/>
            <w:vAlign w:val="bottom"/>
          </w:tcPr>
          <w:p w14:paraId="447D5803" w14:textId="77777777" w:rsidR="002B47C4" w:rsidRPr="008370EB" w:rsidRDefault="002B47C4" w:rsidP="002B47C4">
            <w:pPr>
              <w:spacing w:line="259" w:lineRule="auto"/>
            </w:pPr>
            <w:r w:rsidRPr="008370EB">
              <w:rPr>
                <w:rFonts w:ascii="Aptos Narrow" w:hAnsi="Aptos Narrow"/>
                <w:color w:val="000000"/>
              </w:rPr>
              <w:t> </w:t>
            </w:r>
          </w:p>
        </w:tc>
      </w:tr>
    </w:tbl>
    <w:p w14:paraId="45399689" w14:textId="7EE746E0" w:rsidR="008370EB" w:rsidRPr="008370EB" w:rsidRDefault="008370EB" w:rsidP="008370EB">
      <w:pPr>
        <w:spacing w:after="0" w:line="240" w:lineRule="auto"/>
        <w:rPr>
          <w:rFonts w:cstheme="minorHAnsi"/>
          <w:kern w:val="0"/>
          <w14:ligatures w14:val="none"/>
        </w:rPr>
      </w:pPr>
    </w:p>
    <w:p w14:paraId="4D50E18E" w14:textId="60C69ABE" w:rsidR="008370EB" w:rsidRPr="008370EB" w:rsidRDefault="008370EB" w:rsidP="008370EB">
      <w:pPr>
        <w:spacing w:after="0" w:line="240" w:lineRule="auto"/>
        <w:rPr>
          <w:kern w:val="0"/>
          <w14:ligatures w14:val="none"/>
        </w:rPr>
      </w:pPr>
      <w:r w:rsidRPr="008370EB">
        <w:rPr>
          <w:rFonts w:cstheme="minorHAnsi"/>
          <w:kern w:val="0"/>
          <w14:ligatures w14:val="none"/>
        </w:rPr>
        <w:fldChar w:fldCharType="begin"/>
      </w:r>
      <w:r w:rsidRPr="008370EB">
        <w:rPr>
          <w:rFonts w:cstheme="minorHAnsi"/>
          <w:kern w:val="0"/>
          <w14:ligatures w14:val="none"/>
        </w:rPr>
        <w:instrText xml:space="preserve"> LINK </w:instrText>
      </w:r>
      <w:r w:rsidR="007A3111">
        <w:rPr>
          <w:rFonts w:cstheme="minorHAnsi"/>
          <w:kern w:val="0"/>
          <w14:ligatures w14:val="none"/>
        </w:rPr>
        <w:instrText xml:space="preserve">Excel.Sheet.12 "C:\\Users\\jdunderdale\\Desktop\\Elevator Numbers Spreadsheet.xlsx" 2024!R1C1:R15C10 </w:instrText>
      </w:r>
      <w:r w:rsidRPr="008370EB">
        <w:rPr>
          <w:rFonts w:cstheme="minorHAnsi"/>
          <w:kern w:val="0"/>
          <w14:ligatures w14:val="none"/>
        </w:rPr>
        <w:instrText xml:space="preserve">\a \f 5 \h  \* MERGEFORMAT </w:instrText>
      </w:r>
      <w:r w:rsidRPr="008370EB">
        <w:rPr>
          <w:rFonts w:cstheme="minorHAnsi"/>
          <w:kern w:val="0"/>
          <w14:ligatures w14:val="none"/>
        </w:rPr>
        <w:fldChar w:fldCharType="separate"/>
      </w:r>
    </w:p>
    <w:p w14:paraId="0E93CECB" w14:textId="0F6460B6" w:rsidR="00261BC1" w:rsidRDefault="008370EB" w:rsidP="00242C23">
      <w:pPr>
        <w:pStyle w:val="ListParagraph"/>
        <w:spacing w:after="0" w:line="240" w:lineRule="auto"/>
        <w:ind w:left="870"/>
        <w:jc w:val="both"/>
      </w:pPr>
      <w:r w:rsidRPr="008370EB">
        <w:rPr>
          <w:rFonts w:cstheme="minorHAnsi"/>
          <w:kern w:val="0"/>
          <w14:ligatures w14:val="none"/>
        </w:rPr>
        <w:fldChar w:fldCharType="end"/>
      </w:r>
    </w:p>
    <w:sectPr w:rsidR="00261BC1" w:rsidSect="000F7E06">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7E88"/>
    <w:multiLevelType w:val="hybridMultilevel"/>
    <w:tmpl w:val="8D8A807E"/>
    <w:lvl w:ilvl="0" w:tplc="4B80F1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96A84"/>
    <w:multiLevelType w:val="hybridMultilevel"/>
    <w:tmpl w:val="13620FF0"/>
    <w:lvl w:ilvl="0" w:tplc="EAA42392">
      <w:start w:val="1"/>
      <w:numFmt w:val="decimal"/>
      <w:lvlText w:val="%1."/>
      <w:lvlJc w:val="left"/>
      <w:pPr>
        <w:ind w:left="870" w:hanging="51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F0A95"/>
    <w:multiLevelType w:val="hybridMultilevel"/>
    <w:tmpl w:val="59B6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A2A75"/>
    <w:multiLevelType w:val="hybridMultilevel"/>
    <w:tmpl w:val="12C0A866"/>
    <w:lvl w:ilvl="0" w:tplc="4C76B284">
      <w:start w:val="1"/>
      <w:numFmt w:val="upp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15:restartNumberingAfterBreak="0">
    <w:nsid w:val="14750A65"/>
    <w:multiLevelType w:val="hybridMultilevel"/>
    <w:tmpl w:val="F326AF46"/>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5" w15:restartNumberingAfterBreak="0">
    <w:nsid w:val="18EF3EE8"/>
    <w:multiLevelType w:val="hybridMultilevel"/>
    <w:tmpl w:val="29DC4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B0623"/>
    <w:multiLevelType w:val="hybridMultilevel"/>
    <w:tmpl w:val="B3766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66700"/>
    <w:multiLevelType w:val="hybridMultilevel"/>
    <w:tmpl w:val="75B4033C"/>
    <w:lvl w:ilvl="0" w:tplc="0409000F">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8" w15:restartNumberingAfterBreak="0">
    <w:nsid w:val="302D75E0"/>
    <w:multiLevelType w:val="hybridMultilevel"/>
    <w:tmpl w:val="BEB0007C"/>
    <w:lvl w:ilvl="0" w:tplc="EAA42392">
      <w:start w:val="1"/>
      <w:numFmt w:val="decimal"/>
      <w:lvlText w:val="%1."/>
      <w:lvlJc w:val="left"/>
      <w:pPr>
        <w:ind w:left="870" w:hanging="51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41F6C"/>
    <w:multiLevelType w:val="hybridMultilevel"/>
    <w:tmpl w:val="743A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F2A53"/>
    <w:multiLevelType w:val="hybridMultilevel"/>
    <w:tmpl w:val="CE9CC870"/>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1" w15:restartNumberingAfterBreak="0">
    <w:nsid w:val="49D9480B"/>
    <w:multiLevelType w:val="hybridMultilevel"/>
    <w:tmpl w:val="1854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C8603E"/>
    <w:multiLevelType w:val="hybridMultilevel"/>
    <w:tmpl w:val="F752A2D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A86D70"/>
    <w:multiLevelType w:val="hybridMultilevel"/>
    <w:tmpl w:val="92B4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9249B"/>
    <w:multiLevelType w:val="hybridMultilevel"/>
    <w:tmpl w:val="F9E2DDEC"/>
    <w:lvl w:ilvl="0" w:tplc="0409000F">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5" w15:restartNumberingAfterBreak="0">
    <w:nsid w:val="6F822C12"/>
    <w:multiLevelType w:val="hybridMultilevel"/>
    <w:tmpl w:val="C6A66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00A01"/>
    <w:multiLevelType w:val="hybridMultilevel"/>
    <w:tmpl w:val="DA628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967901"/>
    <w:multiLevelType w:val="hybridMultilevel"/>
    <w:tmpl w:val="DBB67396"/>
    <w:lvl w:ilvl="0" w:tplc="EAA42392">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F477C1"/>
    <w:multiLevelType w:val="hybridMultilevel"/>
    <w:tmpl w:val="EF961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5460901">
    <w:abstractNumId w:val="11"/>
  </w:num>
  <w:num w:numId="2" w16cid:durableId="2079009560">
    <w:abstractNumId w:val="12"/>
  </w:num>
  <w:num w:numId="3" w16cid:durableId="833885611">
    <w:abstractNumId w:val="18"/>
  </w:num>
  <w:num w:numId="4" w16cid:durableId="465782784">
    <w:abstractNumId w:val="17"/>
  </w:num>
  <w:num w:numId="5" w16cid:durableId="1172641537">
    <w:abstractNumId w:val="8"/>
  </w:num>
  <w:num w:numId="6" w16cid:durableId="1300258855">
    <w:abstractNumId w:val="1"/>
  </w:num>
  <w:num w:numId="7" w16cid:durableId="1464885729">
    <w:abstractNumId w:val="10"/>
  </w:num>
  <w:num w:numId="8" w16cid:durableId="1901551144">
    <w:abstractNumId w:val="13"/>
  </w:num>
  <w:num w:numId="9" w16cid:durableId="1664047600">
    <w:abstractNumId w:val="4"/>
  </w:num>
  <w:num w:numId="10" w16cid:durableId="716782611">
    <w:abstractNumId w:val="14"/>
  </w:num>
  <w:num w:numId="11" w16cid:durableId="245383913">
    <w:abstractNumId w:val="5"/>
  </w:num>
  <w:num w:numId="12" w16cid:durableId="1996716174">
    <w:abstractNumId w:val="3"/>
  </w:num>
  <w:num w:numId="13" w16cid:durableId="1817380884">
    <w:abstractNumId w:val="2"/>
  </w:num>
  <w:num w:numId="14" w16cid:durableId="916936274">
    <w:abstractNumId w:val="6"/>
  </w:num>
  <w:num w:numId="15" w16cid:durableId="1583222978">
    <w:abstractNumId w:val="0"/>
  </w:num>
  <w:num w:numId="16" w16cid:durableId="435637829">
    <w:abstractNumId w:val="15"/>
  </w:num>
  <w:num w:numId="17" w16cid:durableId="1295334327">
    <w:abstractNumId w:val="7"/>
  </w:num>
  <w:num w:numId="18" w16cid:durableId="2081244285">
    <w:abstractNumId w:val="9"/>
  </w:num>
  <w:num w:numId="19" w16cid:durableId="7725577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8E"/>
    <w:rsid w:val="000064B0"/>
    <w:rsid w:val="000101BA"/>
    <w:rsid w:val="00013BC6"/>
    <w:rsid w:val="00014FCA"/>
    <w:rsid w:val="00015E0C"/>
    <w:rsid w:val="00037377"/>
    <w:rsid w:val="00042F2A"/>
    <w:rsid w:val="00043D82"/>
    <w:rsid w:val="00047846"/>
    <w:rsid w:val="00052C4C"/>
    <w:rsid w:val="0005539B"/>
    <w:rsid w:val="00062FF8"/>
    <w:rsid w:val="00076DD2"/>
    <w:rsid w:val="00076E5B"/>
    <w:rsid w:val="00077912"/>
    <w:rsid w:val="000801BE"/>
    <w:rsid w:val="00080B9C"/>
    <w:rsid w:val="00090D17"/>
    <w:rsid w:val="00091820"/>
    <w:rsid w:val="00095B70"/>
    <w:rsid w:val="0009781B"/>
    <w:rsid w:val="000A1170"/>
    <w:rsid w:val="000A23BF"/>
    <w:rsid w:val="000A33D2"/>
    <w:rsid w:val="000A3F63"/>
    <w:rsid w:val="000A6917"/>
    <w:rsid w:val="000A7FDF"/>
    <w:rsid w:val="000B02CE"/>
    <w:rsid w:val="000B5048"/>
    <w:rsid w:val="000C459A"/>
    <w:rsid w:val="000C4E59"/>
    <w:rsid w:val="000D1AA7"/>
    <w:rsid w:val="000E2258"/>
    <w:rsid w:val="000E61E6"/>
    <w:rsid w:val="000F0D03"/>
    <w:rsid w:val="000F5F76"/>
    <w:rsid w:val="000F7E06"/>
    <w:rsid w:val="0010419A"/>
    <w:rsid w:val="001137AD"/>
    <w:rsid w:val="001313A6"/>
    <w:rsid w:val="00135C72"/>
    <w:rsid w:val="00141AE5"/>
    <w:rsid w:val="00144FFF"/>
    <w:rsid w:val="001565A4"/>
    <w:rsid w:val="0016090C"/>
    <w:rsid w:val="001620A1"/>
    <w:rsid w:val="00166428"/>
    <w:rsid w:val="001752DE"/>
    <w:rsid w:val="001776E5"/>
    <w:rsid w:val="00181E63"/>
    <w:rsid w:val="00185BA6"/>
    <w:rsid w:val="001874CD"/>
    <w:rsid w:val="00191104"/>
    <w:rsid w:val="001A4D5F"/>
    <w:rsid w:val="001A7A00"/>
    <w:rsid w:val="001B75B2"/>
    <w:rsid w:val="001C71DD"/>
    <w:rsid w:val="001C727B"/>
    <w:rsid w:val="001D543B"/>
    <w:rsid w:val="001D5E57"/>
    <w:rsid w:val="001E59BF"/>
    <w:rsid w:val="001F1C38"/>
    <w:rsid w:val="001F5093"/>
    <w:rsid w:val="001F58BF"/>
    <w:rsid w:val="001F67DE"/>
    <w:rsid w:val="001F792D"/>
    <w:rsid w:val="00203035"/>
    <w:rsid w:val="002072B4"/>
    <w:rsid w:val="00207EE1"/>
    <w:rsid w:val="00215BCE"/>
    <w:rsid w:val="002161A5"/>
    <w:rsid w:val="00217306"/>
    <w:rsid w:val="00220752"/>
    <w:rsid w:val="0022297C"/>
    <w:rsid w:val="00227FEC"/>
    <w:rsid w:val="00230D54"/>
    <w:rsid w:val="00235017"/>
    <w:rsid w:val="002376D2"/>
    <w:rsid w:val="00242C23"/>
    <w:rsid w:val="00245BB0"/>
    <w:rsid w:val="002536D8"/>
    <w:rsid w:val="00261BC1"/>
    <w:rsid w:val="00267453"/>
    <w:rsid w:val="00270A2C"/>
    <w:rsid w:val="00271342"/>
    <w:rsid w:val="00272D81"/>
    <w:rsid w:val="00277B58"/>
    <w:rsid w:val="00283AB9"/>
    <w:rsid w:val="00285098"/>
    <w:rsid w:val="00291A28"/>
    <w:rsid w:val="0029722E"/>
    <w:rsid w:val="002A403A"/>
    <w:rsid w:val="002B15FA"/>
    <w:rsid w:val="002B47C4"/>
    <w:rsid w:val="002C0BB7"/>
    <w:rsid w:val="002C33CD"/>
    <w:rsid w:val="002D174A"/>
    <w:rsid w:val="002D231C"/>
    <w:rsid w:val="002D5174"/>
    <w:rsid w:val="002D6AE0"/>
    <w:rsid w:val="002E03DA"/>
    <w:rsid w:val="002F1F4B"/>
    <w:rsid w:val="003017CE"/>
    <w:rsid w:val="00303E7D"/>
    <w:rsid w:val="00304307"/>
    <w:rsid w:val="003050D1"/>
    <w:rsid w:val="00315B7A"/>
    <w:rsid w:val="00315C54"/>
    <w:rsid w:val="00317159"/>
    <w:rsid w:val="00317438"/>
    <w:rsid w:val="00320036"/>
    <w:rsid w:val="0032154D"/>
    <w:rsid w:val="003345A5"/>
    <w:rsid w:val="00340159"/>
    <w:rsid w:val="00341F33"/>
    <w:rsid w:val="00342A2E"/>
    <w:rsid w:val="00345F1E"/>
    <w:rsid w:val="00346E4B"/>
    <w:rsid w:val="00350C27"/>
    <w:rsid w:val="00353311"/>
    <w:rsid w:val="003567D6"/>
    <w:rsid w:val="0036074F"/>
    <w:rsid w:val="00372B38"/>
    <w:rsid w:val="003802A1"/>
    <w:rsid w:val="003804CD"/>
    <w:rsid w:val="003867E2"/>
    <w:rsid w:val="0039552D"/>
    <w:rsid w:val="00395814"/>
    <w:rsid w:val="0039780D"/>
    <w:rsid w:val="003A1A6C"/>
    <w:rsid w:val="003A780B"/>
    <w:rsid w:val="003B1718"/>
    <w:rsid w:val="003B711E"/>
    <w:rsid w:val="003B729E"/>
    <w:rsid w:val="003C5095"/>
    <w:rsid w:val="003D2EBB"/>
    <w:rsid w:val="003D59BF"/>
    <w:rsid w:val="003D795B"/>
    <w:rsid w:val="00401D3E"/>
    <w:rsid w:val="0040398E"/>
    <w:rsid w:val="004044D7"/>
    <w:rsid w:val="00405141"/>
    <w:rsid w:val="00407A73"/>
    <w:rsid w:val="00414901"/>
    <w:rsid w:val="00414E96"/>
    <w:rsid w:val="00415078"/>
    <w:rsid w:val="004169E4"/>
    <w:rsid w:val="0041777B"/>
    <w:rsid w:val="00420975"/>
    <w:rsid w:val="004225D2"/>
    <w:rsid w:val="00442B1C"/>
    <w:rsid w:val="00444BC8"/>
    <w:rsid w:val="004462F2"/>
    <w:rsid w:val="00447635"/>
    <w:rsid w:val="004557A1"/>
    <w:rsid w:val="00464433"/>
    <w:rsid w:val="00465005"/>
    <w:rsid w:val="00474425"/>
    <w:rsid w:val="004803E1"/>
    <w:rsid w:val="00485544"/>
    <w:rsid w:val="004870F2"/>
    <w:rsid w:val="00493DEE"/>
    <w:rsid w:val="004A264B"/>
    <w:rsid w:val="004B4D50"/>
    <w:rsid w:val="004D011B"/>
    <w:rsid w:val="004E2302"/>
    <w:rsid w:val="004E394B"/>
    <w:rsid w:val="004F1AD5"/>
    <w:rsid w:val="004F4E89"/>
    <w:rsid w:val="004F5A17"/>
    <w:rsid w:val="0051182B"/>
    <w:rsid w:val="00521D9B"/>
    <w:rsid w:val="0052217A"/>
    <w:rsid w:val="00524EFB"/>
    <w:rsid w:val="00537F4C"/>
    <w:rsid w:val="0054189B"/>
    <w:rsid w:val="005440C3"/>
    <w:rsid w:val="00551F3D"/>
    <w:rsid w:val="005641DB"/>
    <w:rsid w:val="00564CCB"/>
    <w:rsid w:val="0056655E"/>
    <w:rsid w:val="005753D4"/>
    <w:rsid w:val="00575C70"/>
    <w:rsid w:val="0057797F"/>
    <w:rsid w:val="0058585D"/>
    <w:rsid w:val="00597D5C"/>
    <w:rsid w:val="005A1DBE"/>
    <w:rsid w:val="005A6176"/>
    <w:rsid w:val="005B0B6B"/>
    <w:rsid w:val="005B23A1"/>
    <w:rsid w:val="005B4064"/>
    <w:rsid w:val="005B5DEE"/>
    <w:rsid w:val="005C120E"/>
    <w:rsid w:val="005D1145"/>
    <w:rsid w:val="005D5F1F"/>
    <w:rsid w:val="005E66E4"/>
    <w:rsid w:val="005E689A"/>
    <w:rsid w:val="005F3D27"/>
    <w:rsid w:val="005F5968"/>
    <w:rsid w:val="006348AA"/>
    <w:rsid w:val="00634FA2"/>
    <w:rsid w:val="00636754"/>
    <w:rsid w:val="00643BE3"/>
    <w:rsid w:val="00645DC0"/>
    <w:rsid w:val="0064687B"/>
    <w:rsid w:val="00647E41"/>
    <w:rsid w:val="00650AF4"/>
    <w:rsid w:val="00657B37"/>
    <w:rsid w:val="006642B6"/>
    <w:rsid w:val="00667BDF"/>
    <w:rsid w:val="00671817"/>
    <w:rsid w:val="00673E52"/>
    <w:rsid w:val="00675797"/>
    <w:rsid w:val="00675D66"/>
    <w:rsid w:val="00676987"/>
    <w:rsid w:val="0069069D"/>
    <w:rsid w:val="00692A70"/>
    <w:rsid w:val="00695CE0"/>
    <w:rsid w:val="006A0189"/>
    <w:rsid w:val="006A1E34"/>
    <w:rsid w:val="006A4E1C"/>
    <w:rsid w:val="006A5286"/>
    <w:rsid w:val="006B032E"/>
    <w:rsid w:val="006B11E1"/>
    <w:rsid w:val="006B4397"/>
    <w:rsid w:val="006C2598"/>
    <w:rsid w:val="006D2C26"/>
    <w:rsid w:val="006D4588"/>
    <w:rsid w:val="006D4B9D"/>
    <w:rsid w:val="006D6B86"/>
    <w:rsid w:val="006E3E66"/>
    <w:rsid w:val="006E4C43"/>
    <w:rsid w:val="006E6237"/>
    <w:rsid w:val="006E70DB"/>
    <w:rsid w:val="006F698C"/>
    <w:rsid w:val="006F6ED1"/>
    <w:rsid w:val="00706F44"/>
    <w:rsid w:val="00714553"/>
    <w:rsid w:val="0073096D"/>
    <w:rsid w:val="00734AAD"/>
    <w:rsid w:val="00742290"/>
    <w:rsid w:val="007527A2"/>
    <w:rsid w:val="0075364C"/>
    <w:rsid w:val="0079377A"/>
    <w:rsid w:val="007A0A2F"/>
    <w:rsid w:val="007A1AD7"/>
    <w:rsid w:val="007A3111"/>
    <w:rsid w:val="007A3DC2"/>
    <w:rsid w:val="007A7D28"/>
    <w:rsid w:val="007A7FE8"/>
    <w:rsid w:val="007B2BA7"/>
    <w:rsid w:val="007C0859"/>
    <w:rsid w:val="007D44D1"/>
    <w:rsid w:val="007D4E42"/>
    <w:rsid w:val="007E1D54"/>
    <w:rsid w:val="007F0B49"/>
    <w:rsid w:val="007F6A64"/>
    <w:rsid w:val="008016B0"/>
    <w:rsid w:val="00802107"/>
    <w:rsid w:val="00812B9C"/>
    <w:rsid w:val="00816C9A"/>
    <w:rsid w:val="00834214"/>
    <w:rsid w:val="00834A8F"/>
    <w:rsid w:val="008370EB"/>
    <w:rsid w:val="008412B5"/>
    <w:rsid w:val="00847B59"/>
    <w:rsid w:val="00851B36"/>
    <w:rsid w:val="00852197"/>
    <w:rsid w:val="00853A88"/>
    <w:rsid w:val="00853ED6"/>
    <w:rsid w:val="0086190C"/>
    <w:rsid w:val="00863DA5"/>
    <w:rsid w:val="00864224"/>
    <w:rsid w:val="00876366"/>
    <w:rsid w:val="00881251"/>
    <w:rsid w:val="00881620"/>
    <w:rsid w:val="00883A45"/>
    <w:rsid w:val="00883B85"/>
    <w:rsid w:val="0088415B"/>
    <w:rsid w:val="008943B4"/>
    <w:rsid w:val="0089611D"/>
    <w:rsid w:val="008A1A65"/>
    <w:rsid w:val="008B08BA"/>
    <w:rsid w:val="008B09EC"/>
    <w:rsid w:val="008B19A2"/>
    <w:rsid w:val="008B62EE"/>
    <w:rsid w:val="008B7A9F"/>
    <w:rsid w:val="008D1E60"/>
    <w:rsid w:val="008D2889"/>
    <w:rsid w:val="008E5F9E"/>
    <w:rsid w:val="008F538A"/>
    <w:rsid w:val="008F758B"/>
    <w:rsid w:val="0090466F"/>
    <w:rsid w:val="00907E08"/>
    <w:rsid w:val="00911EB9"/>
    <w:rsid w:val="00912ABA"/>
    <w:rsid w:val="00914BCE"/>
    <w:rsid w:val="009179BD"/>
    <w:rsid w:val="00925102"/>
    <w:rsid w:val="00927B3D"/>
    <w:rsid w:val="0093146F"/>
    <w:rsid w:val="00931531"/>
    <w:rsid w:val="00932EFB"/>
    <w:rsid w:val="00941FDA"/>
    <w:rsid w:val="009449EE"/>
    <w:rsid w:val="00950527"/>
    <w:rsid w:val="00954CAC"/>
    <w:rsid w:val="00956557"/>
    <w:rsid w:val="00957006"/>
    <w:rsid w:val="00966E52"/>
    <w:rsid w:val="00972C5C"/>
    <w:rsid w:val="00977A06"/>
    <w:rsid w:val="009822BC"/>
    <w:rsid w:val="009864C6"/>
    <w:rsid w:val="009C177A"/>
    <w:rsid w:val="009C3F1D"/>
    <w:rsid w:val="009C68BE"/>
    <w:rsid w:val="009D0573"/>
    <w:rsid w:val="009D4DE2"/>
    <w:rsid w:val="009E0606"/>
    <w:rsid w:val="009E3289"/>
    <w:rsid w:val="009E7A73"/>
    <w:rsid w:val="009F1F75"/>
    <w:rsid w:val="009F5627"/>
    <w:rsid w:val="009F7B25"/>
    <w:rsid w:val="00A04C56"/>
    <w:rsid w:val="00A201FE"/>
    <w:rsid w:val="00A21B95"/>
    <w:rsid w:val="00A33174"/>
    <w:rsid w:val="00A3384F"/>
    <w:rsid w:val="00A4055D"/>
    <w:rsid w:val="00A510C1"/>
    <w:rsid w:val="00A61B74"/>
    <w:rsid w:val="00A65CC6"/>
    <w:rsid w:val="00A83094"/>
    <w:rsid w:val="00A95633"/>
    <w:rsid w:val="00A96D24"/>
    <w:rsid w:val="00AA1CF2"/>
    <w:rsid w:val="00AA4383"/>
    <w:rsid w:val="00AA45AB"/>
    <w:rsid w:val="00AB2DBA"/>
    <w:rsid w:val="00AB693E"/>
    <w:rsid w:val="00AB6E39"/>
    <w:rsid w:val="00AC4A65"/>
    <w:rsid w:val="00AD7925"/>
    <w:rsid w:val="00AE2221"/>
    <w:rsid w:val="00AE2891"/>
    <w:rsid w:val="00AF54DF"/>
    <w:rsid w:val="00B05D49"/>
    <w:rsid w:val="00B14103"/>
    <w:rsid w:val="00B164B5"/>
    <w:rsid w:val="00B32FE3"/>
    <w:rsid w:val="00B332DE"/>
    <w:rsid w:val="00B517E7"/>
    <w:rsid w:val="00B53214"/>
    <w:rsid w:val="00B56103"/>
    <w:rsid w:val="00B648E7"/>
    <w:rsid w:val="00B70030"/>
    <w:rsid w:val="00B762A3"/>
    <w:rsid w:val="00B80AD4"/>
    <w:rsid w:val="00B80CD1"/>
    <w:rsid w:val="00B865AF"/>
    <w:rsid w:val="00B941F7"/>
    <w:rsid w:val="00BA23A6"/>
    <w:rsid w:val="00BA2858"/>
    <w:rsid w:val="00BA45D7"/>
    <w:rsid w:val="00BA57E5"/>
    <w:rsid w:val="00BC193F"/>
    <w:rsid w:val="00BC1F92"/>
    <w:rsid w:val="00BC3353"/>
    <w:rsid w:val="00BC51D5"/>
    <w:rsid w:val="00BD44B9"/>
    <w:rsid w:val="00BE4EC7"/>
    <w:rsid w:val="00C0369F"/>
    <w:rsid w:val="00C13203"/>
    <w:rsid w:val="00C13DD7"/>
    <w:rsid w:val="00C15E9B"/>
    <w:rsid w:val="00C40712"/>
    <w:rsid w:val="00C50695"/>
    <w:rsid w:val="00C55607"/>
    <w:rsid w:val="00C55839"/>
    <w:rsid w:val="00C65AC2"/>
    <w:rsid w:val="00C7658E"/>
    <w:rsid w:val="00C766ED"/>
    <w:rsid w:val="00C83ECE"/>
    <w:rsid w:val="00C90E85"/>
    <w:rsid w:val="00C91C03"/>
    <w:rsid w:val="00C92A64"/>
    <w:rsid w:val="00C934EF"/>
    <w:rsid w:val="00C973AF"/>
    <w:rsid w:val="00CA085A"/>
    <w:rsid w:val="00CA3749"/>
    <w:rsid w:val="00CA79E0"/>
    <w:rsid w:val="00CB7DE9"/>
    <w:rsid w:val="00CC2611"/>
    <w:rsid w:val="00CC7EF4"/>
    <w:rsid w:val="00CD1A03"/>
    <w:rsid w:val="00CD2BD1"/>
    <w:rsid w:val="00CD71AE"/>
    <w:rsid w:val="00CD72E7"/>
    <w:rsid w:val="00CE064F"/>
    <w:rsid w:val="00CE4C9A"/>
    <w:rsid w:val="00CF6731"/>
    <w:rsid w:val="00D01872"/>
    <w:rsid w:val="00D05BEF"/>
    <w:rsid w:val="00D1137E"/>
    <w:rsid w:val="00D1233D"/>
    <w:rsid w:val="00D139A0"/>
    <w:rsid w:val="00D14A34"/>
    <w:rsid w:val="00D2070C"/>
    <w:rsid w:val="00D311C0"/>
    <w:rsid w:val="00D3516B"/>
    <w:rsid w:val="00D36A3F"/>
    <w:rsid w:val="00D371A2"/>
    <w:rsid w:val="00D44273"/>
    <w:rsid w:val="00D5021A"/>
    <w:rsid w:val="00D56F07"/>
    <w:rsid w:val="00D56F6E"/>
    <w:rsid w:val="00D615E1"/>
    <w:rsid w:val="00D62322"/>
    <w:rsid w:val="00D65025"/>
    <w:rsid w:val="00D6536C"/>
    <w:rsid w:val="00D66923"/>
    <w:rsid w:val="00D7595A"/>
    <w:rsid w:val="00D76F83"/>
    <w:rsid w:val="00D80B8C"/>
    <w:rsid w:val="00D81C04"/>
    <w:rsid w:val="00D847F3"/>
    <w:rsid w:val="00D8558F"/>
    <w:rsid w:val="00D857D2"/>
    <w:rsid w:val="00D876DA"/>
    <w:rsid w:val="00D95CE1"/>
    <w:rsid w:val="00D967D2"/>
    <w:rsid w:val="00DA000B"/>
    <w:rsid w:val="00DA0B62"/>
    <w:rsid w:val="00DB36F1"/>
    <w:rsid w:val="00DB5403"/>
    <w:rsid w:val="00DB6423"/>
    <w:rsid w:val="00DC052C"/>
    <w:rsid w:val="00DC6FBD"/>
    <w:rsid w:val="00DC71B1"/>
    <w:rsid w:val="00DC7B96"/>
    <w:rsid w:val="00DD035B"/>
    <w:rsid w:val="00DD0AE1"/>
    <w:rsid w:val="00DD5734"/>
    <w:rsid w:val="00DF5C0E"/>
    <w:rsid w:val="00DF63D1"/>
    <w:rsid w:val="00E025C8"/>
    <w:rsid w:val="00E02A05"/>
    <w:rsid w:val="00E040F9"/>
    <w:rsid w:val="00E0654E"/>
    <w:rsid w:val="00E0738A"/>
    <w:rsid w:val="00E121CF"/>
    <w:rsid w:val="00E17318"/>
    <w:rsid w:val="00E2674C"/>
    <w:rsid w:val="00E267E8"/>
    <w:rsid w:val="00E34501"/>
    <w:rsid w:val="00E36B20"/>
    <w:rsid w:val="00E36C24"/>
    <w:rsid w:val="00E52A78"/>
    <w:rsid w:val="00E53549"/>
    <w:rsid w:val="00E53D7A"/>
    <w:rsid w:val="00E5645E"/>
    <w:rsid w:val="00E61714"/>
    <w:rsid w:val="00E65160"/>
    <w:rsid w:val="00E65877"/>
    <w:rsid w:val="00E70929"/>
    <w:rsid w:val="00E752FE"/>
    <w:rsid w:val="00E77EF8"/>
    <w:rsid w:val="00E808D7"/>
    <w:rsid w:val="00E90AE9"/>
    <w:rsid w:val="00EA574E"/>
    <w:rsid w:val="00EB03AB"/>
    <w:rsid w:val="00EB33F9"/>
    <w:rsid w:val="00EB3475"/>
    <w:rsid w:val="00EC011C"/>
    <w:rsid w:val="00EC03A7"/>
    <w:rsid w:val="00EC3944"/>
    <w:rsid w:val="00ED051B"/>
    <w:rsid w:val="00ED3290"/>
    <w:rsid w:val="00ED6B7E"/>
    <w:rsid w:val="00EF26C9"/>
    <w:rsid w:val="00F02CA5"/>
    <w:rsid w:val="00F450AF"/>
    <w:rsid w:val="00F466FF"/>
    <w:rsid w:val="00F52838"/>
    <w:rsid w:val="00F52C0E"/>
    <w:rsid w:val="00F57582"/>
    <w:rsid w:val="00F62B5F"/>
    <w:rsid w:val="00F65425"/>
    <w:rsid w:val="00F74232"/>
    <w:rsid w:val="00F77763"/>
    <w:rsid w:val="00F77CC0"/>
    <w:rsid w:val="00F807CC"/>
    <w:rsid w:val="00F82B24"/>
    <w:rsid w:val="00F86189"/>
    <w:rsid w:val="00F8711D"/>
    <w:rsid w:val="00F9488A"/>
    <w:rsid w:val="00FA3721"/>
    <w:rsid w:val="00FA7D54"/>
    <w:rsid w:val="00FB74DD"/>
    <w:rsid w:val="00FC6570"/>
    <w:rsid w:val="00FC6E50"/>
    <w:rsid w:val="00FD4A8E"/>
    <w:rsid w:val="00FD7B01"/>
    <w:rsid w:val="00FE0D17"/>
    <w:rsid w:val="00FE2989"/>
    <w:rsid w:val="00FF3DB7"/>
    <w:rsid w:val="00FF44F7"/>
    <w:rsid w:val="00FF54CE"/>
    <w:rsid w:val="369F4C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24D3"/>
  <w15:chartTrackingRefBased/>
  <w15:docId w15:val="{AC3D2DA0-4F1C-46DB-B619-191E2670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9BF"/>
    <w:pPr>
      <w:ind w:left="720"/>
      <w:contextualSpacing/>
    </w:pPr>
  </w:style>
  <w:style w:type="character" w:styleId="CommentReference">
    <w:name w:val="annotation reference"/>
    <w:basedOn w:val="DefaultParagraphFont"/>
    <w:uiPriority w:val="99"/>
    <w:semiHidden/>
    <w:unhideWhenUsed/>
    <w:rsid w:val="003017CE"/>
    <w:rPr>
      <w:sz w:val="16"/>
      <w:szCs w:val="16"/>
    </w:rPr>
  </w:style>
  <w:style w:type="paragraph" w:styleId="CommentText">
    <w:name w:val="annotation text"/>
    <w:basedOn w:val="Normal"/>
    <w:link w:val="CommentTextChar"/>
    <w:uiPriority w:val="99"/>
    <w:unhideWhenUsed/>
    <w:rsid w:val="003017CE"/>
    <w:pPr>
      <w:spacing w:line="240" w:lineRule="auto"/>
    </w:pPr>
    <w:rPr>
      <w:sz w:val="20"/>
      <w:szCs w:val="20"/>
    </w:rPr>
  </w:style>
  <w:style w:type="character" w:customStyle="1" w:styleId="CommentTextChar">
    <w:name w:val="Comment Text Char"/>
    <w:basedOn w:val="DefaultParagraphFont"/>
    <w:link w:val="CommentText"/>
    <w:uiPriority w:val="99"/>
    <w:rsid w:val="003017CE"/>
    <w:rPr>
      <w:sz w:val="20"/>
      <w:szCs w:val="20"/>
    </w:rPr>
  </w:style>
  <w:style w:type="paragraph" w:styleId="CommentSubject">
    <w:name w:val="annotation subject"/>
    <w:basedOn w:val="CommentText"/>
    <w:next w:val="CommentText"/>
    <w:link w:val="CommentSubjectChar"/>
    <w:uiPriority w:val="99"/>
    <w:semiHidden/>
    <w:unhideWhenUsed/>
    <w:rsid w:val="003017CE"/>
    <w:rPr>
      <w:b/>
      <w:bCs/>
    </w:rPr>
  </w:style>
  <w:style w:type="character" w:customStyle="1" w:styleId="CommentSubjectChar">
    <w:name w:val="Comment Subject Char"/>
    <w:basedOn w:val="CommentTextChar"/>
    <w:link w:val="CommentSubject"/>
    <w:uiPriority w:val="99"/>
    <w:semiHidden/>
    <w:rsid w:val="003017CE"/>
    <w:rPr>
      <w:b/>
      <w:bCs/>
      <w:sz w:val="20"/>
      <w:szCs w:val="20"/>
    </w:rPr>
  </w:style>
  <w:style w:type="paragraph" w:styleId="NoSpacing">
    <w:name w:val="No Spacing"/>
    <w:uiPriority w:val="1"/>
    <w:qFormat/>
    <w:rsid w:val="008370EB"/>
    <w:pPr>
      <w:spacing w:after="0" w:line="240" w:lineRule="auto"/>
    </w:pPr>
    <w:rPr>
      <w:kern w:val="0"/>
      <w14:ligatures w14:val="none"/>
    </w:rPr>
  </w:style>
  <w:style w:type="table" w:styleId="TableGrid">
    <w:name w:val="Table Grid"/>
    <w:basedOn w:val="TableNormal"/>
    <w:uiPriority w:val="39"/>
    <w:rsid w:val="008370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207487">
      <w:bodyDiv w:val="1"/>
      <w:marLeft w:val="0"/>
      <w:marRight w:val="0"/>
      <w:marTop w:val="0"/>
      <w:marBottom w:val="0"/>
      <w:divBdr>
        <w:top w:val="none" w:sz="0" w:space="0" w:color="auto"/>
        <w:left w:val="none" w:sz="0" w:space="0" w:color="auto"/>
        <w:bottom w:val="none" w:sz="0" w:space="0" w:color="auto"/>
        <w:right w:val="none" w:sz="0" w:space="0" w:color="auto"/>
      </w:divBdr>
    </w:div>
    <w:div w:id="952130082">
      <w:bodyDiv w:val="1"/>
      <w:marLeft w:val="0"/>
      <w:marRight w:val="0"/>
      <w:marTop w:val="0"/>
      <w:marBottom w:val="0"/>
      <w:divBdr>
        <w:top w:val="none" w:sz="0" w:space="0" w:color="auto"/>
        <w:left w:val="none" w:sz="0" w:space="0" w:color="auto"/>
        <w:bottom w:val="none" w:sz="0" w:space="0" w:color="auto"/>
        <w:right w:val="none" w:sz="0" w:space="0" w:color="auto"/>
      </w:divBdr>
    </w:div>
    <w:div w:id="1117679696">
      <w:bodyDiv w:val="1"/>
      <w:marLeft w:val="0"/>
      <w:marRight w:val="0"/>
      <w:marTop w:val="0"/>
      <w:marBottom w:val="0"/>
      <w:divBdr>
        <w:top w:val="none" w:sz="0" w:space="0" w:color="auto"/>
        <w:left w:val="none" w:sz="0" w:space="0" w:color="auto"/>
        <w:bottom w:val="none" w:sz="0" w:space="0" w:color="auto"/>
        <w:right w:val="none" w:sz="0" w:space="0" w:color="auto"/>
      </w:divBdr>
    </w:div>
    <w:div w:id="155407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Dunderdale [KSFM]</dc:creator>
  <cp:keywords/>
  <dc:description/>
  <cp:lastModifiedBy>Jessica Dunderdale [KSFM]</cp:lastModifiedBy>
  <cp:revision>318</cp:revision>
  <cp:lastPrinted>2024-04-30T14:42:00Z</cp:lastPrinted>
  <dcterms:created xsi:type="dcterms:W3CDTF">2024-08-01T15:59:00Z</dcterms:created>
  <dcterms:modified xsi:type="dcterms:W3CDTF">2024-12-09T19:03:00Z</dcterms:modified>
</cp:coreProperties>
</file>